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02.92 LETTER OF REPRESENTATION</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92"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obtain written representations from management confirming their responsibilities for the preparation of the financial statements, the completeness of information provided to the auditor, and specific assertions relevant to the audit, as required by ISA 580.</ns0:t>
      </ns0:r>
    </ns0:p>
    <ns0:p ns0:rsidR="00000000" ns0:rsidDel="00000000" ns0:rsidP="00000000" ns0:rsidRDefault="00000000" ns0:rsidRPr="00000000" ns1:paraId="00000006">
      <ns0:pPr>
        <ns0:rPr/>
      </ns0:pPr>
    </ns0:p>
    <ns0:p ns0:rsidR="00000000" ns0:rsidDel="00000000" ns0:rsidP="00000000" ns0:rsidRDefault="00000000" ns0:rsidRPr="00000000" ns1:paraId="1000026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68">
      <ns0:pPr>
        <ns0:numPr>
          <ns0:ilvl ns0:val="0"/>
          <ns0:numId ns0:val="1"/>
        </ns0:numPr>
        <ns0:ind ns0:left="360"/>
        <ns0:spacing ns0:before="0" ns0:after="0"/>
      </ns0:pPr>
      <ns0:r>
        <ns0:rPr>
          <ns0:b ns0:val="1"/>
          <ns0:bCs ns0:val="1"/>
          <ns0:rtl ns0:val="0"/>
        </ns0:rPr>
        <ns0:t xml:space="preserve">Obtaining written representations from management confirming their responsibilities (ISA 580)</ns0:t>
      </ns0:r>
    </ns0:p>
    <ns0:p ns0:rsidR="00000000" ns0:rsidDel="00000000" ns0:rsidP="00000000" ns0:rsidRDefault="00000000" ns0:rsidRPr="00000000" ns1:paraId="10000269">
      <ns0:pPr>
        <ns0:numPr>
          <ns0:ilvl ns0:val="0"/>
          <ns0:numId ns0:val="1"/>
        </ns0:numPr>
        <ns0:ind ns0:left="360"/>
        <ns0:spacing ns0:before="0" ns0:after="0"/>
      </ns0:pPr>
      <ns0:r>
        <ns0:rPr>
          <ns0:b ns0:val="1"/>
          <ns0:bCs ns0:val="1"/>
          <ns0:rtl ns0:val="0"/>
        </ns0:rPr>
        <ns0:t xml:space="preserve">Management’s confirmation that all relevant information and access has been provided for the audit</ns0:t>
      </ns0:r>
    </ns0:p>
    <ns0:p ns0:rsidR="00000000" ns0:rsidDel="00000000" ns0:rsidP="00000000" ns0:rsidRDefault="00000000" ns0:rsidRPr="00000000" ns1:paraId="1000026A">
      <ns0:pPr>
        <ns0:numPr>
          <ns0:ilvl ns0:val="0"/>
          <ns0:numId ns0:val="1"/>
        </ns0:numPr>
        <ns0:ind ns0:left="360"/>
        <ns0:spacing ns0:before="0" ns0:after="0"/>
      </ns0:pPr>
      <ns0:r>
        <ns0:rPr>
          <ns0:b ns0:val="1"/>
          <ns0:bCs ns0:val="1"/>
          <ns0:rtl ns0:val="0"/>
        </ns0:rPr>
        <ns0:t xml:space="preserve">Written representations as a necessary condition for issuing the audit report</ns0:t>
      </ns0:r>
    </ns0:p>
    <ns0:p ns0:rsidR="00000000" ns0:rsidDel="00000000" ns0:rsidP="00000000" ns0:rsidRDefault="00000000" ns0:rsidRPr="00000000" ns1:paraId="1000026B">
      <ns0:pPr>
        <ns0:rPr/>
      </ns0:pPr>
    </ns0:p>
    <ns0:p ns0:rsidR="00000000" ns0:rsidDel="00000000" ns0:rsidP="00000000" ns0:rsidRDefault="00000000" ns0:rsidRPr="00000000" ns1:paraId="00000009">
      <ns0:pPr>
        <ns0:spacing ns0:after="0"/>
        <ns0:rPr/>
      </ns0:pPr>
      <ns0:bookmarkStart ns0:colFirst="0" ns0:colLast="0" ns0:name="_docplacement0292"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02.92 – Letter of Representation can be found in the Client communication folder in the Caseware document manager.</ns0:t>
      </ns0:r>
    </ns0:p>
    <ns0:p ns0:rsidR="00AB0001" ns0:rsidRDefault="00AB0001">
      <ns0:pPr>
        <ns0:jc ns0:val="center"/>
        <ns0:rPr/>
      </ns0:pPr>
      <ns0:r>
        <ns0:rPr/>
        <ns0:drawing>
          <ns2:inline distT="0" distB="0" distL="0" distR="0">
            <ns2:extent cx="4572000" cy="3524324"/>
            <ns2:effectExtent l="0" t="0" r="0" b="0"/>
            <ns2:docPr id="901" name="Bookmark 02.92" descr="Bookmark placement for 02.92"/>
            <ns2:cNvGraphicFramePr>
              <ns3:graphicFrameLocks noChangeAspect="1"/>
            </ns2:cNvGraphicFramePr>
            <ns3:graphic>
              <ns3:graphicData uri="http://schemas.openxmlformats.org/drawingml/2006/picture">
                <ns4:pic>
                  <ns4:nvPicPr>
                    <ns4:cNvPr id="901" name="Bookmark 02.92" descr="Bookmark placement for 02.92"/>
                    <ns4:cNvPicPr/>
                  </ns4:nvPicPr>
                  <ns4:blipFill>
                    <ns3:blip ns5:embed="rId9"/>
                    <ns3:stretch>
                      <ns3:fillRect/>
                    </ns3:stretch>
                  </ns4:blipFill>
                  <ns4:spPr>
                    <ns3:xfrm>
                      <ns3:off x="0" y="0"/>
                      <ns3:ext cx="4572000" cy="3524324"/>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92"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CaseView letter template that produces the written representation letter from management to the auditor. The document addresses the requirements of ISA 580 relating to written representations obtained from management as part of the audit evidence.</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letter contains twenty numbered representation sections covering the following topics:</ns0:t>
      </ns0:r>
    </ns0:p>
    <ns0:p ns0:rsidR="00000000" ns0:rsidDel="00000000" ns0:rsidP="00000000" ns0:rsidRDefault="00000000" ns0:rsidRPr="00000000" ns1:paraId="0000000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Financial statements</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Information provided</ns0:t>
      </ns0:r>
    </ns0:p>
    <ns0:p ns0:rsidR="00000000" ns0:rsidDel="00000000" ns0:rsidP="00000000" ns0:rsidRDefault="00000000" ns0:rsidRPr="00000000" ns1:paraId="0000001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Laws and regulations</ns0:t>
      </ns0:r>
    </ns0:p>
    <ns0:p ns0:rsidR="00000000" ns0:rsidDel="00000000" ns0:rsidP="00000000" ns0:rsidRDefault="00000000" ns0:rsidRPr="00000000" ns1:paraId="0000001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Litigations and claims</ns0:t>
      </ns0:r>
    </ns0:p>
    <ns0:p ns0:rsidR="00000000" ns0:rsidDel="00000000" ns0:rsidP="00000000" ns0:rsidRDefault="00000000" ns0:rsidRPr="00000000" ns1:paraId="0000001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Related parties</ns0:t>
      </ns0:r>
    </ns0:p>
    <ns0:p ns0:rsidR="00000000" ns0:rsidDel="00000000" ns0:rsidP="00000000" ns0:rsidRDefault="00000000" ns0:rsidRPr="00000000" ns1:paraId="0000001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Going concern</ns0:t>
      </ns0:r>
    </ns0:p>
    <ns0:p ns0:rsidR="00000000" ns0:rsidDel="00000000" ns0:rsidP="00000000" ns0:rsidRDefault="00000000" ns0:rsidRPr="00000000" ns1:paraId="0000001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Subsequent events</ns0:t>
      </ns0:r>
    </ns0:p>
    <ns0:p ns0:rsidR="00000000" ns0:rsidDel="00000000" ns0:rsidP="00000000" ns0:rsidRDefault="00000000" ns0:rsidRPr="00000000" ns1:paraId="00000016">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Fraud</ns0:t>
      </ns0:r>
    </ns0:p>
    <ns0:p ns0:rsidR="00000000" ns0:rsidDel="00000000" ns0:rsidP="00000000" ns0:rsidRDefault="00000000" ns0:rsidRPr="00000000" ns1:paraId="00000017">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Uncorrected misstatements</ns0:t>
      </ns0:r>
    </ns0:p>
    <ns0:p ns0:rsidR="00000000" ns0:rsidDel="00000000" ns0:rsidP="00000000" ns0:rsidRDefault="00000000" ns0:rsidRPr="00000000" ns1:paraId="00000018">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Comparatives</ns0:t>
      </ns0:r>
    </ns0:p>
    <ns0:p ns0:rsidR="00000000" ns0:rsidDel="00000000" ns0:rsidP="00000000" ns0:rsidRDefault="00000000" ns0:rsidRPr="00000000" ns1:paraId="00000019">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Current assets</ns0:t>
      </ns0:r>
    </ns0:p>
    <ns0:p ns0:rsidR="00000000" ns0:rsidDel="00000000" ns0:rsidP="00000000" ns0:rsidRDefault="00000000" ns0:rsidRPr="00000000" ns1:paraId="0000001A">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Property, plant and equipment</ns0:t>
      </ns0:r>
    </ns0:p>
    <ns0:p ns0:rsidR="00000000" ns0:rsidDel="00000000" ns0:rsidP="00000000" ns0:rsidRDefault="00000000" ns0:rsidRPr="00000000" ns1:paraId="0000001B">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Impairment</ns0:t>
      </ns0:r>
    </ns0:p>
    <ns0:p ns0:rsidR="00000000" ns0:rsidDel="00000000" ns0:rsidP="00000000" ns0:rsidRDefault="00000000" ns0:rsidRPr="00000000" ns1:paraId="0000001C">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Financial instruments</ns0:t>
      </ns0:r>
    </ns0:p>
    <ns0:p ns0:rsidR="00000000" ns0:rsidDel="00000000" ns0:rsidP="00000000" ns0:rsidRDefault="00000000" ns0:rsidRPr="00000000" ns1:paraId="0000001D">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Financial institutions</ns0:t>
      </ns0:r>
    </ns0:p>
    <ns0:p ns0:rsidR="00000000" ns0:rsidDel="00000000" ns0:rsidP="00000000" ns0:rsidRDefault="00000000" ns0:rsidRPr="00000000" ns1:paraId="0000001E">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Income tax</ns0:t>
      </ns0:r>
    </ns0:p>
    <ns0:p ns0:rsidR="00000000" ns0:rsidDel="00000000" ns0:rsidP="00000000" ns0:rsidRDefault="00000000" ns0:rsidRPr="00000000" ns1:paraId="0000001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Contractual agreements</ns0:t>
      </ns0:r>
    </ns0:p>
    <ns0:p ns0:rsidR="00000000" ns0:rsidDel="00000000" ns0:rsidP="00000000" ns0:rsidRDefault="00000000" ns0:rsidRPr="00000000" ns1:paraId="0000002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Encumbrances</ns0:t>
      </ns0:r>
    </ns0:p>
    <ns0:p ns0:rsidR="00000000" ns0:rsidDel="00000000" ns0:rsidP="00000000" ns0:rsidRDefault="00000000" ns0:rsidRPr="00000000" ns1:paraId="0000002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Commitments</ns0:t>
      </ns0:r>
    </ns0:p>
    <ns0:p ns0:rsidR="00000000" ns0:rsidDel="00000000" ns0:rsidP="00000000" ns0:rsidRDefault="00000000" ns0:rsidRPr="00000000" ns1:paraId="0000002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Financial statement disclosure</ns0:t>
      </ns0:r>
    </ns0:p>
    <ns0:p ns0:rsidR="00000000" ns0:rsidDel="00000000" ns0:rsidP="00000000" ns0:rsidRDefault="00000000" ns0:rsidRPr="00000000" ns1:paraId="00000023">
      <ns0:pPr>
        <ns0:jc ns0:val="center"/>
        <ns0:rPr>
          <ns0:i ns0:val="1"/>
          <ns0:color ns0:val="808080"/>
        </ns0:rPr>
      </ns0:pPr>
      <ns0:r>
        <ns0:rPr>
          <ns0:i ns0:val="1"/>
          <ns0:color ns0:val="808080"/>
          <ns0:rtl ns0:val="0"/>
        </ns0:rPr>
        <ns0:t xml:space="preserve">[Screenshot: Document map showing bookmarks]</ns0:t>
      </ns0:r>
    </ns0:p>
    <ns0:p ns0:rsidR="00000000" ns0:rsidDel="00000000" ns0:rsidP="00000000" ns0:rsidRDefault="00000000" ns0:rsidRPr="00000000" ns1:paraId="00000024">
      <ns0:pPr>
        <ns0:pStyle ns0:val="Heading1"/>
      </ns0:pPr>
      <ns0:bookmarkStart ns0:colFirst="0" ns0:colLast="0" ns0:name="_layout0292"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25">
        <ns0:tc>
          <ns0:tcPr>
            <ns0:tcW ns0:w="2580" ns0:type="dxa"/>
          </ns0:tcPr>
          <ns0:p ns1:paraId="00000026">
            <ns0:pPr>
              <ns0:rPr>
                <ns0:b ns0:val="1"/>
                <ns0:color ns0:val="FFFFFF"/>
              </ns0:rPr>
            </ns0:pPr>
            <ns0:r>
              <ns0:rPr>
                <ns0:b ns0:val="1"/>
              </ns0:rPr>
              <ns0:t>Column</ns0:t>
            </ns0:r>
          </ns0:p>
        </ns0:tc>
        <ns0:tc>
          <ns0:tcPr>
            <ns0:tcW ns0:w="3645" ns0:type="dxa"/>
          </ns0:tcPr>
          <ns0:p ns1:paraId="00000027">
            <ns0:pPr>
              <ns0:rPr>
                <ns0:b ns0:val="1"/>
                <ns0:color ns0:val="FFFFFF"/>
              </ns0:rPr>
            </ns0:pPr>
            <ns0:r>
              <ns0:rPr>
                <ns0:b ns0:val="1"/>
              </ns0:rPr>
              <ns0:t>Input Required</ns0:t>
            </ns0:r>
          </ns0:p>
        </ns0:tc>
        <ns0:tc>
          <ns0:tcPr>
            <ns0:tcW ns0:w="3885" ns0:type="dxa"/>
          </ns0:tcPr>
          <ns0:p ns1:paraId="00000028">
            <ns0:pPr>
              <ns0:rPr>
                <ns0:b ns0:val="1"/>
                <ns0:color ns0:val="FFFFFF"/>
              </ns0:rPr>
            </ns0:pPr>
            <ns0:r>
              <ns0:rPr>
                <ns0:b ns0:val="1"/>
              </ns0:rPr>
              <ns0:t>Outcome</ns0:t>
            </ns0:r>
          </ns0:p>
        </ns0:tc>
      </ns0:tr>
      <ns0:tr ns1:paraId="00000029">
        <ns0:tc>
          <ns0:tcPr>
            <ns0:tcW ns0:w="10110" ns0:type="dxa"/>
            <ns0:gridSpan ns0:val="3"/>
          </ns0:tcPr>
          <ns0:p ns1:paraId="0000002A">
            <ns0:pPr>
              <ns0:jc ns0:val="center"/>
              <ns0:rPr>
                <ns0:b ns0:val="1"/>
                <ns0:color ns0:val="FFFFFF"/>
              </ns0:rPr>
            </ns0:pPr>
            <ns0:r>
              <ns0:rPr>
                <ns0:b ns0:val="1"/>
              </ns0:rPr>
              <ns0:t>Letter header</ns0:t>
            </ns0:r>
          </ns0:p>
        </ns0:tc>
      </ns0:tr>
      <ns0:tr ns1:paraId="0000002B">
        <ns0:tc>
          <ns0:tcPr>
            <ns0:tcW ns0:w="2580" ns0:type="dxa"/>
          </ns0:tcPr>
          <ns0:p ns1:paraId="0000002C">
            <ns0:pPr>
              <ns0:rPr>
                <ns0:b ns0:val="1"/>
              </ns0:rPr>
            </ns0:pPr>
            <ns0:r>
              <ns0:rPr>
                <ns0:b ns0:val="1"/>
              </ns0:rPr>
              <ns0:t>Partner’s name</ns0:t>
            </ns0:r>
          </ns0:p>
        </ns0:tc>
        <ns0:tc>
          <ns0:tcPr>
            <ns0:tcW ns0:w="3645" ns0:type="dxa"/>
          </ns0:tcPr>
          <ns0:p ns1:paraId="0000002D">
            <ns0:r>
              <ns0:t xml:space="preserve">Pre-populated with the engagement partner’s name from the engagement file settings.</ns0:t>
            </ns0:r>
          </ns0:p>
        </ns0:tc>
        <ns0:tc>
          <ns0:tcPr>
            <ns0:tcW ns0:w="3885" ns0:type="dxa"/>
          </ns0:tcPr>
          <ns0:p ns1:paraId="0000002E">
            <ns0:r>
              <ns0:t xml:space="preserve">No impact on the engagement file.</ns0:t>
            </ns0:r>
          </ns0:p>
        </ns0:tc>
      </ns0:tr>
      <ns0:tr ns1:paraId="0000002F">
        <ns0:tc>
          <ns0:tcPr>
            <ns0:tcW ns0:w="2580" ns0:type="dxa"/>
          </ns0:tcPr>
          <ns0:p ns1:paraId="00000030">
            <ns0:pPr>
              <ns0:rPr>
                <ns0:b ns0:val="1"/>
              </ns0:rPr>
            </ns0:pPr>
            <ns0:r>
              <ns0:rPr>
                <ns0:b ns0:val="1"/>
              </ns0:rPr>
              <ns0:t>Name of practice / firm</ns0:t>
            </ns0:r>
          </ns0:p>
        </ns0:tc>
        <ns0:tc>
          <ns0:tcPr>
            <ns0:tcW ns0:w="3645" ns0:type="dxa"/>
          </ns0:tcPr>
          <ns0:p ns1:paraId="00000031">
            <ns0:r>
              <ns0:t xml:space="preserve">Pre-populated with the firm name from the engagement file settings.</ns0:t>
            </ns0:r>
          </ns0:p>
        </ns0:tc>
        <ns0:tc>
          <ns0:tcPr>
            <ns0:tcW ns0:w="3885" ns0:type="dxa"/>
          </ns0:tcPr>
          <ns0:p ns1:paraId="00000032">
            <ns0:r>
              <ns0:t xml:space="preserve">No impact on the engagement file.</ns0:t>
            </ns0:r>
          </ns0:p>
        </ns0:tc>
      </ns0:tr>
      <ns0:tr ns1:paraId="00000033">
        <ns0:tc>
          <ns0:tcPr>
            <ns0:tcW ns0:w="2580" ns0:type="dxa"/>
          </ns0:tcPr>
          <ns0:p ns1:paraId="00000034">
            <ns0:pPr>
              <ns0:rPr>
                <ns0:b ns0:val="1"/>
              </ns0:rPr>
            </ns0:pPr>
            <ns0:r>
              <ns0:rPr>
                <ns0:b ns0:val="1"/>
              </ns0:rPr>
              <ns0:t>Salutation</ns0:t>
            </ns0:r>
          </ns0:p>
        </ns0:tc>
        <ns0:tc>
          <ns0:tcPr>
            <ns0:tcW ns0:w="3645" ns0:type="dxa"/>
          </ns0:tcPr>
          <ns0:p ns1:paraId="00000035">
            <ns0:r>
              <ns0:t xml:space="preserve">Pre-populated with “Dear Sir(s)”. No input required.</ns0:t>
            </ns0:r>
          </ns0:p>
        </ns0:tc>
        <ns0:tc>
          <ns0:tcPr>
            <ns0:tcW ns0:w="3885" ns0:type="dxa"/>
          </ns0:tcPr>
          <ns0:p ns1:paraId="00000036">
            <ns0:r>
              <ns0:t xml:space="preserve">No impact on the engagement file.</ns0:t>
            </ns0:r>
          </ns0:p>
        </ns0:tc>
      </ns0:tr>
      <ns0:tr ns1:paraId="00000037">
        <ns0:tc>
          <ns0:tcPr>
            <ns0:tcW ns0:w="2580" ns0:type="dxa"/>
          </ns0:tcPr>
          <ns0:p ns1:paraId="00000038">
            <ns0:pPr>
              <ns0:rPr>
                <ns0:b ns0:val="1"/>
              </ns0:rPr>
            </ns0:pPr>
            <ns0:r>
              <ns0:rPr>
                <ns0:b ns0:val="1"/>
              </ns0:rPr>
              <ns0:t>Introduction</ns0:t>
            </ns0:r>
          </ns0:p>
        </ns0:tc>
        <ns0:tc>
          <ns0:tcPr>
            <ns0:tcW ns0:w="3645" ns0:type="dxa"/>
          </ns0:tcPr>
          <ns0:p ns1:paraId="00000039">
            <ns0:r>
              <ns0:t xml:space="preserve">Pre-populated introductory paragraph referencing the entity name, year-end date, and applicable financial reporting framework. No input required.</ns0:t>
            </ns0:r>
          </ns0:p>
        </ns0:tc>
        <ns0:tc>
          <ns0:tcPr>
            <ns0:tcW ns0:w="3885" ns0:type="dxa"/>
          </ns0:tcPr>
          <ns0:p ns1:paraId="0000003A">
            <ns0:r>
              <ns0:t xml:space="preserve">No impact on the engagement file.</ns0:t>
            </ns0:r>
          </ns0:p>
        </ns0:tc>
      </ns0:tr>
      <ns0:tr ns1:paraId="0000003B">
        <ns0:tc>
          <ns0:tcPr>
            <ns0:tcW ns0:w="10110" ns0:type="dxa"/>
            <ns0:gridSpan ns0:val="3"/>
          </ns0:tcPr>
          <ns0:p ns1:paraId="0000003C">
            <ns0:pPr>
              <ns0:jc ns0:val="center"/>
              <ns0:rPr>
                <ns0:b ns0:val="1"/>
                <ns0:color ns0:val="FFFFFF"/>
              </ns0:rPr>
            </ns0:pPr>
            <ns0:r>
              <ns0:rPr>
                <ns0:b ns0:val="1"/>
              </ns0:rPr>
              <ns0:t>General representations</ns0:t>
            </ns0:r>
          </ns0:p>
        </ns0:tc>
      </ns0:tr>
      <ns0:tr ns1:paraId="0000003D">
        <ns0:tc>
          <ns0:tcPr>
            <ns0:tcW ns0:w="2580" ns0:type="dxa"/>
          </ns0:tcPr>
          <ns0:p ns1:paraId="0000003E">
            <ns0:pPr>
              <ns0:rPr>
                <ns0:b ns0:val="1"/>
              </ns0:rPr>
            </ns0:pPr>
            <ns0:r>
              <ns0:rPr>
                <ns0:b ns0:val="1"/>
              </ns0:rPr>
              <ns0:t>Financial statements</ns0:t>
            </ns0:r>
          </ns0:p>
        </ns0:tc>
        <ns0:tc>
          <ns0:tcPr>
            <ns0:tcW ns0:w="3645" ns0:type="dxa"/>
          </ns0:tcPr>
          <ns0:p ns1:paraId="0000003F">
            <ns0:r>
              <ns0:t xml:space="preserve">Pre-populated representation confirming management’s responsibility for the preparation of the financial statements and that they are fairly presented in accordance with the applicable financial reporting framework. The engagement date field is pre-populated. No input required.</ns0:t>
            </ns0:r>
          </ns0:p>
        </ns0:tc>
        <ns0:tc>
          <ns0:tcPr>
            <ns0:tcW ns0:w="3885" ns0:type="dxa"/>
          </ns0:tcPr>
          <ns0:p ns1:paraId="00000040">
            <ns0:r>
              <ns0:t xml:space="preserve">No impact on the engagement file.</ns0:t>
            </ns0:r>
          </ns0:p>
        </ns0:tc>
      </ns0:tr>
      <ns0:tr ns1:paraId="00000041">
        <ns0:tc>
          <ns0:tcPr>
            <ns0:tcW ns0:w="2580" ns0:type="dxa"/>
          </ns0:tcPr>
          <ns0:p ns1:paraId="00000042">
            <ns0:pPr>
              <ns0:rPr>
                <ns0:b ns0:val="1"/>
              </ns0:rPr>
            </ns0:pPr>
            <ns0:r>
              <ns0:rPr>
                <ns0:b ns0:val="1"/>
              </ns0:rPr>
              <ns0:t>Information provided</ns0:t>
            </ns0:r>
          </ns0:p>
        </ns0:tc>
        <ns0:tc>
          <ns0:tcPr>
            <ns0:tcW ns0:w="3645" ns0:type="dxa"/>
          </ns0:tcPr>
          <ns0:p ns1:paraId="00000043">
            <ns0:r>
              <ns0:t xml:space="preserve">Pre-populated representation confirming that management has provided the auditor with access to all information, additional information requested, and unrestricted access to persons within the entity. No input required.</ns0:t>
            </ns0:r>
          </ns0:p>
        </ns0:tc>
        <ns0:tc>
          <ns0:tcPr>
            <ns0:tcW ns0:w="3885" ns0:type="dxa"/>
          </ns0:tcPr>
          <ns0:p ns1:paraId="00000044">
            <ns0:r>
              <ns0:t xml:space="preserve">No impact on the engagement file.</ns0:t>
            </ns0:r>
          </ns0:p>
        </ns0:tc>
      </ns0:tr>
      <ns0:tr ns1:paraId="00000045">
        <ns0:tc>
          <ns0:tcPr>
            <ns0:tcW ns0:w="10110" ns0:type="dxa"/>
            <ns0:gridSpan ns0:val="3"/>
          </ns0:tcPr>
          <ns0:p ns1:paraId="00000046">
            <ns0:pPr>
              <ns0:jc ns0:val="center"/>
              <ns0:rPr>
                <ns0:b ns0:val="1"/>
                <ns0:color ns0:val="FFFFFF"/>
              </ns0:rPr>
            </ns0:pPr>
            <ns0:r>
              <ns0:rPr>
                <ns0:b ns0:val="1"/>
              </ns0:rPr>
              <ns0:t>Compliance and legal</ns0:t>
            </ns0:r>
          </ns0:p>
        </ns0:tc>
      </ns0:tr>
      <ns0:tr ns1:paraId="00000047">
        <ns0:tc>
          <ns0:tcPr>
            <ns0:tcW ns0:w="2580" ns0:type="dxa"/>
          </ns0:tcPr>
          <ns0:p ns1:paraId="00000048">
            <ns0:pPr>
              <ns0:rPr>
                <ns0:b ns0:val="1"/>
              </ns0:rPr>
            </ns0:pPr>
            <ns0:r>
              <ns0:rPr>
                <ns0:b ns0:val="1"/>
              </ns0:rPr>
              <ns0:t>Laws and regulations</ns0:t>
            </ns0:r>
          </ns0:p>
        </ns0:tc>
        <ns0:tc>
          <ns0:tcPr>
            <ns0:tcW ns0:w="3645" ns0:type="dxa"/>
          </ns0:tcPr>
          <ns0:p ns1:paraId="00000049">
            <ns0:r>
              <ns0:t xml:space="preserve">Pre-populated representation confirming disclosure of all known instances of non-compliance with laws and regulations. No input required.</ns0:t>
            </ns0:r>
          </ns0:p>
        </ns0:tc>
        <ns0:tc>
          <ns0:tcPr>
            <ns0:tcW ns0:w="3885" ns0:type="dxa"/>
          </ns0:tcPr>
          <ns0:p ns1:paraId="0000004A">
            <ns0:r>
              <ns0:t xml:space="preserve">No impact on the engagement file.</ns0:t>
            </ns0:r>
          </ns0:p>
        </ns0:tc>
      </ns0:tr>
      <ns0:tr ns1:paraId="0000004B">
        <ns0:tc>
          <ns0:tcPr>
            <ns0:tcW ns0:w="2580" ns0:type="dxa"/>
          </ns0:tcPr>
          <ns0:p ns1:paraId="0000004C">
            <ns0:pPr>
              <ns0:rPr>
                <ns0:b ns0:val="1"/>
              </ns0:rPr>
            </ns0:pPr>
            <ns0:r>
              <ns0:rPr>
                <ns0:b ns0:val="1"/>
              </ns0:rPr>
              <ns0:t>Litigations and claims</ns0:t>
            </ns0:r>
          </ns0:p>
        </ns0:tc>
        <ns0:tc>
          <ns0:tcPr>
            <ns0:tcW ns0:w="3645" ns0:type="dxa"/>
          </ns0:tcPr>
          <ns0:p ns1:paraId="0000004D">
            <ns0:r>
              <ns0:t xml:space="preserve">Pre-populated representation confirming that the estimated effect of pending or threatened litigation and claims has been properly recorded or disclosed, and that no additional claims are expected. No input required.</ns0:t>
            </ns0:r>
          </ns0:p>
        </ns0:tc>
        <ns0:tc>
          <ns0:tcPr>
            <ns0:tcW ns0:w="3885" ns0:type="dxa"/>
          </ns0:tcPr>
          <ns0:p ns1:paraId="0000004E">
            <ns0:r>
              <ns0:t xml:space="preserve">No impact on the engagement file.</ns0:t>
            </ns0:r>
          </ns0:p>
        </ns0:tc>
      </ns0:tr>
      <ns0:tr ns1:paraId="0000004F">
        <ns0:tc>
          <ns0:tcPr>
            <ns0:tcW ns0:w="10110" ns0:type="dxa"/>
            <ns0:gridSpan ns0:val="3"/>
          </ns0:tcPr>
          <ns0:p ns1:paraId="00000050">
            <ns0:pPr>
              <ns0:jc ns0:val="center"/>
              <ns0:rPr>
                <ns0:b ns0:val="1"/>
                <ns0:color ns0:val="FFFFFF"/>
              </ns0:rPr>
            </ns0:pPr>
            <ns0:r>
              <ns0:rPr>
                <ns0:b ns0:val="1"/>
              </ns0:rPr>
              <ns0:t>Relationships and going concern</ns0:t>
            </ns0:r>
          </ns0:p>
        </ns0:tc>
      </ns0:tr>
      <ns0:tr ns1:paraId="00000051">
        <ns0:tc>
          <ns0:tcPr>
            <ns0:tcW ns0:w="2580" ns0:type="dxa"/>
          </ns0:tcPr>
          <ns0:p ns1:paraId="00000052">
            <ns0:pPr>
              <ns0:rPr>
                <ns0:b ns0:val="1"/>
              </ns0:rPr>
            </ns0:pPr>
            <ns0:r>
              <ns0:rPr>
                <ns0:b ns0:val="1"/>
              </ns0:rPr>
              <ns0:t>Related parties</ns0:t>
            </ns0:r>
          </ns0:p>
        </ns0:tc>
        <ns0:tc>
          <ns0:tcPr>
            <ns0:tcW ns0:w="3645" ns0:type="dxa"/>
          </ns0:tcPr>
          <ns0:p ns1:paraId="00000053">
            <ns0:r>
              <ns0:t xml:space="preserve">Pre-populated representation confirming disclosure of all related parties, related party relationships, and related party transactions. No input required.</ns0:t>
            </ns0:r>
          </ns0:p>
        </ns0:tc>
        <ns0:tc>
          <ns0:tcPr>
            <ns0:tcW ns0:w="3885" ns0:type="dxa"/>
          </ns0:tcPr>
          <ns0:p ns1:paraId="00000054">
            <ns0:r>
              <ns0:t xml:space="preserve">No impact on the engagement file.</ns0:t>
            </ns0:r>
          </ns0:p>
        </ns0:tc>
      </ns0:tr>
      <ns0:tr ns1:paraId="00000055">
        <ns0:tc>
          <ns0:tcPr>
            <ns0:tcW ns0:w="2580" ns0:type="dxa"/>
          </ns0:tcPr>
          <ns0:p ns1:paraId="00000056">
            <ns0:pPr>
              <ns0:rPr>
                <ns0:b ns0:val="1"/>
              </ns0:rPr>
            </ns0:pPr>
            <ns0:r>
              <ns0:rPr>
                <ns0:b ns0:val="1"/>
              </ns0:rPr>
              <ns0:t>Going concern</ns0:t>
            </ns0:r>
          </ns0:p>
        </ns0:tc>
        <ns0:tc>
          <ns0:tcPr>
            <ns0:tcW ns0:w="3645" ns0:type="dxa"/>
          </ns0:tcPr>
          <ns0:p ns1:paraId="00000057">
            <ns0:r>
              <ns0:t xml:space="preserve">Pre-populated representation confirming disclosure of all information relevant to the going concern assumption. No input required.</ns0:t>
            </ns0:r>
          </ns0:p>
        </ns0:tc>
        <ns0:tc>
          <ns0:tcPr>
            <ns0:tcW ns0:w="3885" ns0:type="dxa"/>
          </ns0:tcPr>
          <ns0:p ns1:paraId="00000058">
            <ns0:r>
              <ns0:t xml:space="preserve">No impact on the engagement file.</ns0:t>
            </ns0:r>
          </ns0:p>
        </ns0:tc>
      </ns0:tr>
      <ns0:tr ns1:paraId="00000059">
        <ns0:tc>
          <ns0:tcPr>
            <ns0:tcW ns0:w="10110" ns0:type="dxa"/>
            <ns0:gridSpan ns0:val="3"/>
          </ns0:tcPr>
          <ns0:p ns1:paraId="0000005A">
            <ns0:pPr>
              <ns0:jc ns0:val="center"/>
              <ns0:rPr>
                <ns0:b ns0:val="1"/>
                <ns0:color ns0:val="FFFFFF"/>
              </ns0:rPr>
            </ns0:pPr>
            <ns0:r>
              <ns0:rPr>
                <ns0:b ns0:val="1"/>
              </ns0:rPr>
              <ns0:t>Adjustments and events</ns0:t>
            </ns0:r>
          </ns0:p>
        </ns0:tc>
      </ns0:tr>
      <ns0:tr ns1:paraId="0000005B">
        <ns0:tc>
          <ns0:tcPr>
            <ns0:tcW ns0:w="2580" ns0:type="dxa"/>
          </ns0:tcPr>
          <ns0:p ns1:paraId="0000005C">
            <ns0:pPr>
              <ns0:rPr>
                <ns0:b ns0:val="1"/>
              </ns0:rPr>
            </ns0:pPr>
            <ns0:r>
              <ns0:rPr>
                <ns0:b ns0:val="1"/>
              </ns0:rPr>
              <ns0:t>Subsequent events</ns0:t>
            </ns0:r>
          </ns0:p>
        </ns0:tc>
        <ns0:tc>
          <ns0:tcPr>
            <ns0:tcW ns0:w="3645" ns0:type="dxa"/>
          </ns0:tcPr>
          <ns0:p ns1:paraId="0000005D">
            <ns0:r>
              <ns0:t xml:space="preserve">Pre-populated representation confirming that all events subsequent to the date of the financial statements have been adjusted for or disclosed. No input required.</ns0:t>
            </ns0:r>
          </ns0:p>
        </ns0:tc>
        <ns0:tc>
          <ns0:tcPr>
            <ns0:tcW ns0:w="3885" ns0:type="dxa"/>
          </ns0:tcPr>
          <ns0:p ns1:paraId="0000005E">
            <ns0:r>
              <ns0:t xml:space="preserve">No impact on the engagement file.</ns0:t>
            </ns0:r>
          </ns0:p>
        </ns0:tc>
      </ns0:tr>
      <ns0:tr ns1:paraId="0000005F">
        <ns0:tc>
          <ns0:tcPr>
            <ns0:tcW ns0:w="2580" ns0:type="dxa"/>
          </ns0:tcPr>
          <ns0:p ns1:paraId="00000060">
            <ns0:pPr>
              <ns0:rPr>
                <ns0:b ns0:val="1"/>
              </ns0:rPr>
            </ns0:pPr>
            <ns0:r>
              <ns0:rPr>
                <ns0:b ns0:val="1"/>
              </ns0:rPr>
              <ns0:t>Fraud</ns0:t>
            </ns0:r>
          </ns0:p>
        </ns0:tc>
        <ns0:tc>
          <ns0:tcPr>
            <ns0:tcW ns0:w="3645" ns0:type="dxa"/>
          </ns0:tcPr>
          <ns0:p ns1:paraId="00000061">
            <ns0:r>
              <ns0:t xml:space="preserve">Pre-populated representation confirming management’s responsibility for internal controls to prevent and detect fraud, disclosure of the results of management’s fraud risk assessment, and disclosure of all information relating to fraud or suspected fraud. No input required.</ns0:t>
            </ns0:r>
          </ns0:p>
        </ns0:tc>
        <ns0:tc>
          <ns0:tcPr>
            <ns0:tcW ns0:w="3885" ns0:type="dxa"/>
          </ns0:tcPr>
          <ns0:p ns1:paraId="00000062">
            <ns0:r>
              <ns0:t xml:space="preserve">No impact on the engagement file.</ns0:t>
            </ns0:r>
          </ns0:p>
        </ns0:tc>
      </ns0:tr>
      <ns0:tr ns1:paraId="00000063">
        <ns0:tc>
          <ns0:tcPr>
            <ns0:tcW ns0:w="2580" ns0:type="dxa"/>
          </ns0:tcPr>
          <ns0:p ns1:paraId="00000064">
            <ns0:pPr>
              <ns0:rPr>
                <ns0:b ns0:val="1"/>
              </ns0:rPr>
            </ns0:pPr>
            <ns0:r>
              <ns0:rPr>
                <ns0:b ns0:val="1"/>
              </ns0:rPr>
              <ns0:t>Uncorrected misstatements</ns0:t>
            </ns0:r>
          </ns0:p>
        </ns0:tc>
        <ns0:tc>
          <ns0:tcPr>
            <ns0:tcW ns0:w="3645" ns0:type="dxa"/>
          </ns0:tcPr>
          <ns0:p ns1:paraId="00000065">
            <ns0:r>
              <ns0:t xml:space="preserve">Pre-populated representation confirming that the effects of uncorrected misstatements are immaterial both individually and in the aggregate. No input required.</ns0:t>
            </ns0:r>
          </ns0:p>
        </ns0:tc>
        <ns0:tc>
          <ns0:tcPr>
            <ns0:tcW ns0:w="3885" ns0:type="dxa"/>
          </ns0:tcPr>
          <ns0:p ns1:paraId="00000066">
            <ns0:r>
              <ns0:t xml:space="preserve">No impact on the engagement file.</ns0:t>
            </ns0:r>
          </ns0:p>
        </ns0:tc>
      </ns0:tr>
      <ns0:tr ns1:paraId="00000067">
        <ns0:tc>
          <ns0:tcPr>
            <ns0:tcW ns0:w="2580" ns0:type="dxa"/>
          </ns0:tcPr>
          <ns0:p ns1:paraId="00000068">
            <ns0:pPr>
              <ns0:rPr>
                <ns0:b ns0:val="1"/>
              </ns0:rPr>
            </ns0:pPr>
            <ns0:r>
              <ns0:rPr>
                <ns0:b ns0:val="1"/>
              </ns0:rPr>
              <ns0:t>Comparatives</ns0:t>
            </ns0:r>
          </ns0:p>
        </ns0:tc>
        <ns0:tc>
          <ns0:tcPr>
            <ns0:tcW ns0:w="3645" ns0:type="dxa"/>
          </ns0:tcPr>
          <ns0:p ns1:paraId="00000069">
            <ns0:r>
              <ns0:t xml:space="preserve">Pre-populated representation confirming that no significant matters have arisen that would require a restatement of the comparatives. No input required.</ns0:t>
            </ns0:r>
          </ns0:p>
        </ns0:tc>
        <ns0:tc>
          <ns0:tcPr>
            <ns0:tcW ns0:w="3885" ns0:type="dxa"/>
          </ns0:tcPr>
          <ns0:p ns1:paraId="0000006A">
            <ns0:r>
              <ns0:t xml:space="preserve">No impact on the engagement file.</ns0:t>
            </ns0:r>
          </ns0:p>
        </ns0:tc>
      </ns0:tr>
      <ns0:tr ns1:paraId="0000006B">
        <ns0:tc>
          <ns0:tcPr>
            <ns0:tcW ns0:w="10110" ns0:type="dxa"/>
            <ns0:gridSpan ns0:val="3"/>
          </ns0:tcPr>
          <ns0:p ns1:paraId="0000006C">
            <ns0:pPr>
              <ns0:jc ns0:val="center"/>
              <ns0:rPr>
                <ns0:b ns0:val="1"/>
                <ns0:color ns0:val="FFFFFF"/>
              </ns0:rPr>
            </ns0:pPr>
            <ns0:r>
              <ns0:rPr>
                <ns0:b ns0:val="1"/>
              </ns0:rPr>
              <ns0:t>Assets and liabilities</ns0:t>
            </ns0:r>
          </ns0:p>
        </ns0:tc>
      </ns0:tr>
      <ns0:tr ns1:paraId="0000006D">
        <ns0:tc>
          <ns0:tcPr>
            <ns0:tcW ns0:w="2580" ns0:type="dxa"/>
          </ns0:tcPr>
          <ns0:p ns1:paraId="0000006E">
            <ns0:pPr>
              <ns0:rPr>
                <ns0:b ns0:val="1"/>
              </ns0:rPr>
            </ns0:pPr>
            <ns0:r>
              <ns0:rPr>
                <ns0:b ns0:val="1"/>
              </ns0:rPr>
              <ns0:t>Current assets</ns0:t>
            </ns0:r>
          </ns0:p>
        </ns0:tc>
        <ns0:tc>
          <ns0:tcPr>
            <ns0:tcW ns0:w="3645" ns0:type="dxa"/>
          </ns0:tcPr>
          <ns0:p ns1:paraId="0000006F">
            <ns0:r>
              <ns0:t xml:space="preserve">Pre-populated representation confirming that current assets have a value on realisation at least equal to the amounts stated, and that receivables represent valid claims with appropriate provisions. No input required.</ns0:t>
            </ns0:r>
          </ns0:p>
        </ns0:tc>
        <ns0:tc>
          <ns0:tcPr>
            <ns0:tcW ns0:w="3885" ns0:type="dxa"/>
          </ns0:tcPr>
          <ns0:p ns1:paraId="00000070">
            <ns0:r>
              <ns0:t xml:space="preserve">No impact on the engagement file.</ns0:t>
            </ns0:r>
          </ns0:p>
        </ns0:tc>
      </ns0:tr>
      <ns0:tr ns1:paraId="00000071">
        <ns0:tc>
          <ns0:tcPr>
            <ns0:tcW ns0:w="2580" ns0:type="dxa"/>
          </ns0:tcPr>
          <ns0:p ns1:paraId="00000072">
            <ns0:pPr>
              <ns0:rPr>
                <ns0:b ns0:val="1"/>
              </ns0:rPr>
            </ns0:pPr>
            <ns0:r>
              <ns0:rPr>
                <ns0:b ns0:val="1"/>
              </ns0:rPr>
              <ns0:t>Property, plant and equipment</ns0:t>
            </ns0:r>
          </ns0:p>
        </ns0:tc>
        <ns0:tc>
          <ns0:tcPr>
            <ns0:tcW ns0:w="3645" ns0:type="dxa"/>
          </ns0:tcPr>
          <ns0:p ns1:paraId="00000073">
            <ns0:r>
              <ns0:t xml:space="preserve">Pre-populated representation confirming the carrying values of property, plant and equipment, including additions, write-offs, and depreciation. No input required.</ns0:t>
            </ns0:r>
          </ns0:p>
        </ns0:tc>
        <ns0:tc>
          <ns0:tcPr>
            <ns0:tcW ns0:w="3885" ns0:type="dxa"/>
          </ns0:tcPr>
          <ns0:p ns1:paraId="00000074">
            <ns0:r>
              <ns0:t xml:space="preserve">No impact on the engagement file.</ns0:t>
            </ns0:r>
          </ns0:p>
        </ns0:tc>
      </ns0:tr>
      <ns0:tr ns1:paraId="00000075">
        <ns0:tc>
          <ns0:tcPr>
            <ns0:tcW ns0:w="2580" ns0:type="dxa"/>
          </ns0:tcPr>
          <ns0:p ns1:paraId="00000076">
            <ns0:pPr>
              <ns0:rPr>
                <ns0:b ns0:val="1"/>
              </ns0:rPr>
            </ns0:pPr>
            <ns0:r>
              <ns0:rPr>
                <ns0:b ns0:val="1"/>
              </ns0:rPr>
              <ns0:t>Impairment</ns0:t>
            </ns0:r>
          </ns0:p>
        </ns0:tc>
        <ns0:tc>
          <ns0:tcPr>
            <ns0:tcW ns0:w="3645" ns0:type="dxa"/>
          </ns0:tcPr>
          <ns0:p ns1:paraId="00000077">
            <ns0:r>
              <ns0:t xml:space="preserve">Pre-populated representation confirming that the carrying amount of assets has been reviewed for impairment and appropriate adjustments have been recorded. No input required.</ns0:t>
            </ns0:r>
          </ns0:p>
        </ns0:tc>
        <ns0:tc>
          <ns0:tcPr>
            <ns0:tcW ns0:w="3885" ns0:type="dxa"/>
          </ns0:tcPr>
          <ns0:p ns1:paraId="00000078">
            <ns0:r>
              <ns0:t xml:space="preserve">No impact on the engagement file.</ns0:t>
            </ns0:r>
          </ns0:p>
        </ns0:tc>
      </ns0:tr>
      <ns0:tr ns1:paraId="00000079">
        <ns0:tc>
          <ns0:tcPr>
            <ns0:tcW ns0:w="2580" ns0:type="dxa"/>
          </ns0:tcPr>
          <ns0:p ns1:paraId="0000007A">
            <ns0:pPr>
              <ns0:rPr>
                <ns0:b ns0:val="1"/>
              </ns0:rPr>
            </ns0:pPr>
            <ns0:r>
              <ns0:rPr>
                <ns0:b ns0:val="1"/>
              </ns0:rPr>
              <ns0:t>Financial instruments</ns0:t>
            </ns0:r>
          </ns0:p>
        </ns0:tc>
        <ns0:tc>
          <ns0:tcPr>
            <ns0:tcW ns0:w="3645" ns0:type="dxa"/>
          </ns0:tcPr>
          <ns0:p ns1:paraId="0000007B">
            <ns0:r>
              <ns0:t xml:space="preserve">Pre-populated representation confirming that all financial assets and liabilities have been reviewed and correctly classified, and that offsetting has not been applied unless explicitly permitted. No input required.</ns0:t>
            </ns0:r>
          </ns0:p>
        </ns0:tc>
        <ns0:tc>
          <ns0:tcPr>
            <ns0:tcW ns0:w="3885" ns0:type="dxa"/>
          </ns0:tcPr>
          <ns0:p ns1:paraId="0000007C">
            <ns0:r>
              <ns0:t xml:space="preserve">No impact on the engagement file.</ns0:t>
            </ns0:r>
          </ns0:p>
        </ns0:tc>
      </ns0:tr>
      <ns0:tr ns1:paraId="0000007D">
        <ns0:tc>
          <ns0:tcPr>
            <ns0:tcW ns0:w="2580" ns0:type="dxa"/>
          </ns0:tcPr>
          <ns0:p ns1:paraId="0000007E">
            <ns0:pPr>
              <ns0:rPr>
                <ns0:b ns0:val="1"/>
              </ns0:rPr>
            </ns0:pPr>
            <ns0:r>
              <ns0:rPr>
                <ns0:b ns0:val="1"/>
              </ns0:rPr>
              <ns0:t>Financial institutions</ns0:t>
            </ns0:r>
          </ns0:p>
        </ns0:tc>
        <ns0:tc>
          <ns0:tcPr>
            <ns0:tcW ns0:w="3645" ns0:type="dxa"/>
          </ns0:tcPr>
          <ns0:p ns1:paraId="0000007F">
            <ns0:r>
              <ns0:t xml:space="preserve">Pre-populated representation confirming that all financial institution accounts have been dealt with in the financial statements and that all necessary disclosures have been made. No input required.</ns0:t>
            </ns0:r>
          </ns0:p>
        </ns0:tc>
        <ns0:tc>
          <ns0:tcPr>
            <ns0:tcW ns0:w="3885" ns0:type="dxa"/>
          </ns0:tcPr>
          <ns0:p ns1:paraId="00000080">
            <ns0:r>
              <ns0:t xml:space="preserve">No impact on the engagement file.</ns0:t>
            </ns0:r>
          </ns0:p>
        </ns0:tc>
      </ns0:tr>
      <ns0:tr ns1:paraId="00000081">
        <ns0:tc>
          <ns0:tcPr>
            <ns0:tcW ns0:w="10110" ns0:type="dxa"/>
            <ns0:gridSpan ns0:val="3"/>
          </ns0:tcPr>
          <ns0:p ns1:paraId="00000082">
            <ns0:pPr>
              <ns0:jc ns0:val="center"/>
              <ns0:rPr>
                <ns0:b ns0:val="1"/>
                <ns0:color ns0:val="FFFFFF"/>
              </ns0:rPr>
            </ns0:pPr>
            <ns0:r>
              <ns0:rPr>
                <ns0:b ns0:val="1"/>
              </ns0:rPr>
              <ns0:t>Other matters and disclosures</ns0:t>
            </ns0:r>
          </ns0:p>
        </ns0:tc>
      </ns0:tr>
      <ns0:tr ns1:paraId="00000083">
        <ns0:tc>
          <ns0:tcPr>
            <ns0:tcW ns0:w="2580" ns0:type="dxa"/>
          </ns0:tcPr>
          <ns0:p ns1:paraId="00000084">
            <ns0:pPr>
              <ns0:rPr>
                <ns0:b ns0:val="1"/>
              </ns0:rPr>
            </ns0:pPr>
            <ns0:r>
              <ns0:rPr>
                <ns0:b ns0:val="1"/>
              </ns0:rPr>
              <ns0:t>Income tax</ns0:t>
            </ns0:r>
          </ns0:p>
        </ns0:tc>
        <ns0:tc>
          <ns0:tcPr>
            <ns0:tcW ns0:w="3645" ns0:type="dxa"/>
          </ns0:tcPr>
          <ns0:p ns1:paraId="00000085">
            <ns0:r>
              <ns0:t xml:space="preserve">Pre-populated representation confirming that the deferred tax valuation has been determined in accordance with the applicable financial reporting framework. No input required.</ns0:t>
            </ns0:r>
          </ns0:p>
        </ns0:tc>
        <ns0:tc>
          <ns0:tcPr>
            <ns0:tcW ns0:w="3885" ns0:type="dxa"/>
          </ns0:tcPr>
          <ns0:p ns1:paraId="00000086">
            <ns0:r>
              <ns0:t xml:space="preserve">No impact on the engagement file.</ns0:t>
            </ns0:r>
          </ns0:p>
        </ns0:tc>
      </ns0:tr>
      <ns0:tr ns1:paraId="00000087">
        <ns0:tc>
          <ns0:tcPr>
            <ns0:tcW ns0:w="2580" ns0:type="dxa"/>
          </ns0:tcPr>
          <ns0:p ns1:paraId="00000088">
            <ns0:pPr>
              <ns0:rPr>
                <ns0:b ns0:val="1"/>
              </ns0:rPr>
            </ns0:pPr>
            <ns0:r>
              <ns0:rPr>
                <ns0:b ns0:val="1"/>
              </ns0:rPr>
              <ns0:t>Contractual agreements</ns0:t>
            </ns0:r>
          </ns0:p>
        </ns0:tc>
        <ns0:tc>
          <ns0:tcPr>
            <ns0:tcW ns0:w="3645" ns0:type="dxa"/>
          </ns0:tcPr>
          <ns0:p ns1:paraId="00000089">
            <ns0:r>
              <ns0:t xml:space="preserve">Pre-populated representation confirming compliance with all contractual agreements and that all contractual arrangements have been properly reflected in the accounting records. No input required.</ns0:t>
            </ns0:r>
          </ns0:p>
        </ns0:tc>
        <ns0:tc>
          <ns0:tcPr>
            <ns0:tcW ns0:w="3885" ns0:type="dxa"/>
          </ns0:tcPr>
          <ns0:p ns1:paraId="0000008A">
            <ns0:r>
              <ns0:t xml:space="preserve">No impact on the engagement file.</ns0:t>
            </ns0:r>
          </ns0:p>
        </ns0:tc>
      </ns0:tr>
      <ns0:tr ns1:paraId="0000008B">
        <ns0:tc>
          <ns0:tcPr>
            <ns0:tcW ns0:w="2580" ns0:type="dxa"/>
          </ns0:tcPr>
          <ns0:p ns1:paraId="0000008C">
            <ns0:pPr>
              <ns0:rPr>
                <ns0:b ns0:val="1"/>
              </ns0:rPr>
            </ns0:pPr>
            <ns0:r>
              <ns0:rPr>
                <ns0:b ns0:val="1"/>
              </ns0:rPr>
              <ns0:t>Encumbrances</ns0:t>
            </ns0:r>
          </ns0:p>
        </ns0:tc>
        <ns0:tc>
          <ns0:tcPr>
            <ns0:tcW ns0:w="3645" ns0:type="dxa"/>
          </ns0:tcPr>
          <ns0:p ns1:paraId="0000008D">
            <ns0:r>
              <ns0:t xml:space="preserve">Pre-populated representation confirming satisfactory title to all owned assets and that no liens or encumbrances exist other than those disclosed. No input required.</ns0:t>
            </ns0:r>
          </ns0:p>
        </ns0:tc>
        <ns0:tc>
          <ns0:tcPr>
            <ns0:tcW ns0:w="3885" ns0:type="dxa"/>
          </ns0:tcPr>
          <ns0:p ns1:paraId="0000008E">
            <ns0:r>
              <ns0:t xml:space="preserve">No impact on the engagement file.</ns0:t>
            </ns0:r>
          </ns0:p>
        </ns0:tc>
      </ns0:tr>
      <ns0:tr ns1:paraId="0000008F">
        <ns0:tc>
          <ns0:tcPr>
            <ns0:tcW ns0:w="2580" ns0:type="dxa"/>
          </ns0:tcPr>
          <ns0:p ns1:paraId="00000090">
            <ns0:pPr>
              <ns0:rPr>
                <ns0:b ns0:val="1"/>
              </ns0:rPr>
            </ns0:pPr>
            <ns0:r>
              <ns0:rPr>
                <ns0:b ns0:val="1"/>
              </ns0:rPr>
              <ns0:t>Commitments</ns0:t>
            </ns0:r>
          </ns0:p>
        </ns0:tc>
        <ns0:tc>
          <ns0:tcPr>
            <ns0:tcW ns0:w="3645" ns0:type="dxa"/>
          </ns0:tcPr>
          <ns0:p ns1:paraId="00000091">
            <ns0:r>
              <ns0:t xml:space="preserve">Pre-populated representation confirming that no material commitments under contracts for capital expenditure, forward contracts, or foreign exchange exist other than those disclosed. No input required.</ns0:t>
            </ns0:r>
          </ns0:p>
        </ns0:tc>
        <ns0:tc>
          <ns0:tcPr>
            <ns0:tcW ns0:w="3885" ns0:type="dxa"/>
          </ns0:tcPr>
          <ns0:p ns1:paraId="00000092">
            <ns0:r>
              <ns0:t xml:space="preserve">No impact on the engagement file.</ns0:t>
            </ns0:r>
          </ns0:p>
        </ns0:tc>
      </ns0:tr>
      <ns0:tr ns1:paraId="00000093">
        <ns0:tc>
          <ns0:tcPr>
            <ns0:tcW ns0:w="2580" ns0:type="dxa"/>
          </ns0:tcPr>
          <ns0:p ns1:paraId="00000094">
            <ns0:pPr>
              <ns0:rPr>
                <ns0:b ns0:val="1"/>
              </ns0:rPr>
            </ns0:pPr>
            <ns0:r>
              <ns0:rPr>
                <ns0:b ns0:val="1"/>
              </ns0:rPr>
              <ns0:t>Financial statement disclosure</ns0:t>
            </ns0:r>
          </ns0:p>
        </ns0:tc>
        <ns0:tc>
          <ns0:tcPr>
            <ns0:tcW ns0:w="3645" ns0:type="dxa"/>
          </ns0:tcPr>
          <ns0:p ns1:paraId="00000095">
            <ns0:r>
              <ns0:t xml:space="preserve">Pre-populated representation confirming that various items have been properly recorded and disclosed in the financial statements, including sale and purchase commitments, assets pledged as collateral, off-balance-sheet activities, contingencies, and environmental matters. No input required.</ns0:t>
            </ns0:r>
          </ns0:p>
        </ns0:tc>
        <ns0:tc>
          <ns0:tcPr>
            <ns0:tcW ns0:w="3885" ns0:type="dxa"/>
          </ns0:tcPr>
          <ns0:p ns1:paraId="00000096">
            <ns0:r>
              <ns0:t xml:space="preserve">No impact on the engagement file.</ns0:t>
            </ns0:r>
          </ns0:p>
        </ns0:tc>
      </ns0:tr>
      <ns0:tr ns1:paraId="00000097">
        <ns0:tc>
          <ns0:tcPr>
            <ns0:tcW ns0:w="10110" ns0:type="dxa"/>
            <ns0:gridSpan ns0:val="3"/>
          </ns0:tcPr>
          <ns0:p ns1:paraId="00000098">
            <ns0:pPr>
              <ns0:jc ns0:val="center"/>
              <ns0:rPr>
                <ns0:b ns0:val="1"/>
                <ns0:color ns0:val="FFFFFF"/>
              </ns0:rPr>
            </ns0:pPr>
            <ns0:r>
              <ns0:rPr>
                <ns0:b ns0:val="1"/>
              </ns0:rPr>
              <ns0:t>Sign-off</ns0:t>
            </ns0:r>
          </ns0:p>
        </ns0:tc>
      </ns0:tr>
      <ns0:tr ns1:paraId="00000099">
        <ns0:tc>
          <ns0:tcPr>
            <ns0:tcW ns0:w="2580" ns0:type="dxa"/>
          </ns0:tcPr>
          <ns0:p ns1:paraId="0000009A">
            <ns0:pPr>
              <ns0:rPr>
                <ns0:b ns0:val="1"/>
              </ns0:rPr>
            </ns0:pPr>
            <ns0:r>
              <ns0:rPr>
                <ns0:b ns0:val="1"/>
              </ns0:rPr>
              <ns0:t>Closing and signature</ns0:t>
            </ns0:r>
          </ns0:p>
        </ns0:tc>
        <ns0:tc>
          <ns0:tcPr>
            <ns0:tcW ns0:w="3645" ns0:type="dxa"/>
          </ns0:tcPr>
          <ns0:p ns1:paraId="0000009B">
            <ns0:r>
              <ns0:t xml:space="preserve">Pre-populated closing text with “Yours faithfully” salutation and “Financial director” signature line. The letter is signed by the financial director on behalf of management.</ns0:t>
            </ns0:r>
          </ns0:p>
        </ns0:tc>
        <ns0:tc>
          <ns0:tcPr>
            <ns0:tcW ns0:w="3885" ns0:type="dxa"/>
          </ns0:tcPr>
          <ns0:p ns1:paraId="0000009C">
            <ns0:r>
              <ns0:t xml:space="preserve">No impact on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9E">
      <ns0:pPr>
        <ns0:pStyle ns0:val="Heading1"/>
      </ns0:pPr>
      <ns0:bookmarkStart ns0:colFirst="0" ns0:colLast="0" ns0:name="_docoutcomes0292" ns0:id="5"/>
      <ns0:bookmarkEnd ns0:id="5"/>
      <ns0:r>
        <ns0:rPr>
          <ns0:rtl ns0:val="0"/>
        </ns0:rPr>
        <ns0:t xml:space="preserve">Document outcomes</ns0:t>
      </ns0:r>
    </ns0:p>
    <ns0:p ns0:rsidR="00000000" ns0:rsidDel="00000000" ns0:rsidP="00000000" ns0:rsidRDefault="00000000" ns0:rsidRPr="00000000" ns1:paraId="0000009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Letter header section provides the addressee details, firm name, salutation, and introductory paragraph for the representation letter. Entity-specific information such as the entity name, year-end date, and financial reporting framework is pre-populated from the engagement file settings.</ns0:t>
      </ns0:r>
    </ns0:p>
    <ns0:p ns0:rsidR="00000000" ns0:rsidDel="00000000" ns0:rsidP="00000000" ns0:rsidRDefault="00000000" ns0:rsidRPr="00000000" ns1:paraId="000000A0">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General representations section contains management’s confirmation of their responsibility for the preparation and fair presentation of the financial statements and the completeness of information provided to the auditor.</ns0:t>
      </ns0:r>
    </ns0:p>
    <ns0:p ns0:rsidR="00000000" ns0:rsidDel="00000000" ns0:rsidP="00000000" ns0:rsidRDefault="00000000" ns0:rsidRPr="00000000" ns1:paraId="000000A1">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Compliance and legal section covers representations relating to laws and regulations and litigations and claims, confirming that all known instances of non-compliance and the estimated effect of pending or threatened litigation have been disclosed.</ns0:t>
      </ns0:r>
    </ns0:p>
    <ns0:p ns0:rsidR="00000000" ns0:rsidDel="00000000" ns0:rsidP="00000000" ns0:rsidRDefault="00000000" ns0:rsidRPr="00000000" ns1:paraId="000000A2">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Relationships and going concern section covers representations relating to the identity and disclosure of all related parties and related party transactions, and the disclosure of all information relevant to the going concern assumption.</ns0:t>
      </ns0:r>
    </ns0:p>
    <ns0:p ns0:rsidR="00000000" ns0:rsidDel="00000000" ns0:rsidP="00000000" ns0:rsidRDefault="00000000" ns0:rsidRPr="00000000" ns1:paraId="000000A3">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Adjustments and events section covers representations relating to subsequent events, fraud, uncorrected misstatements, and comparatives, confirming that all relevant matters have been appropriately addressed and disclosed.</ns0:t>
      </ns0:r>
    </ns0:p>
    <ns0:p ns0:rsidR="00000000" ns0:rsidDel="00000000" ns0:rsidP="00000000" ns0:rsidRDefault="00000000" ns0:rsidRPr="00000000" ns1:paraId="000000A4">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Assets and liabilities section covers representations relating to current assets, property plant and equipment, impairment, financial instruments, and financial institutions, confirming that assets and liabilities have been properly valued, classified, and disclosed.</ns0:t>
      </ns0:r>
    </ns0:p>
    <ns0:p ns0:rsidR="00000000" ns0:rsidDel="00000000" ns0:rsidP="00000000" ns0:rsidRDefault="00000000" ns0:rsidRPr="00000000" ns1:paraId="000000A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Other matters and disclosures section covers representations relating to income tax, contractual agreements, encumbrances, commitments, and financial statement disclosure, confirming compliance and completeness of disclosures in the financial statements.</ns0:t>
      </ns0:r>
    </ns0:p>
    <ns0:p ns0:rsidR="00000000" ns0:rsidDel="00000000" ns0:rsidP="00000000" ns0:rsidRDefault="00000000" ns0:rsidRPr="00000000" ns1:paraId="000000A6">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Sign-off section contains the standard closing salutation and signature line for the financial director to sign on behalf of management.</ns0:t>
      </ns0:r>
    </ns0:p>
    <ns0:p ns0:rsidR="00000000" ns0:rsidDel="00000000" ns0:rsidP="00000000" ns0:rsidRDefault="00000000" ns0:rsidRPr="00000000" ns1:paraId="000000A7">
      <ns0:pPr>
        <ns0:rPr/>
      </ns0:pPr>
    </ns0:p>
    <ns0:p ns0:rsidR="00000000" ns0:rsidDel="00000000" ns0:rsidP="00000000" ns0:rsidRDefault="00000000" ns0:rsidRPr="00000000" ns1:paraId="000000A8">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A9">
      <ns0:pPr>
        <ns0:pStyle ns0:val="Heading1"/>
      </ns0:pPr>
      <ns0:bookmarkStart ns0:colFirst="0" ns0:colLast="0" ns0:name="_groupaudits0292" ns0:id="6"/>
      <ns0:bookmarkEnd ns0:id="6"/>
      <ns0:r>
        <ns0:rPr>
          <ns0:rtl ns0:val="0"/>
        </ns0:rPr>
        <ns0:t xml:space="preserve">Group Audits</ns0:t>
      </ns0:r>
    </ns0:p>
    <ns0:p ns0:rsidR="00000000" ns0:rsidDel="00000000" ns0:rsidP="00000000" ns0:rsidRDefault="00000000" ns0:rsidRPr="00000000" ns1:paraId="000000A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questions are modified for the separate group audit engagement file.</ns0:t>
      </ns0:r>
    </ns0:p>
    <ns0:p ns0:rsidR="00000000" ns0:rsidDel="00000000" ns0:rsidP="00000000" ns0:rsidRDefault="00000000" ns0:rsidRPr="00000000" ns1:paraId="000000A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Additional questions were added for group audit engagement to:</ns0:t>
      </ns0:r>
    </ns0:p>
    <ns0:p ns0:rsidR="00000000" ns0:rsidDel="00000000" ns0:rsidP="00000000" ns0:rsidRDefault="00000000" ns0:rsidRPr="00000000" ns1:paraId="000000AC">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Identify components for planning and performing of audit procedures;</ns0:t>
      </ns0:r>
    </ns0:p>
    <ns0:p ns0:rsidR="00000000" ns0:rsidDel="00000000" ns0:rsidP="00000000" ns0:rsidRDefault="00000000" ns0:rsidRPr="00000000" ns1:paraId="000000AD">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Determine expected involvement of component auditors in risk assessment procedures and further audit procedures;</ns0:t>
      </ns0:r>
    </ns0:p>
    <ns0:p ns0:rsidR="00000000" ns0:rsidDel="00000000" ns0:rsidP="00000000" ns0:rsidRDefault="00000000" ns0:rsidRPr="00000000" ns1:paraId="000000AE">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Evaluate access to components and component auditors; and</ns0:t>
      </ns0:r>
    </ns0:p>
    <ns0:p ns0:rsidR="00000000" ns0:rsidDel="00000000" ns0:rsidP="00000000" ns0:rsidRDefault="00000000" ns0:rsidRPr="00000000" ns1:paraId="000000A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Determine whether there is any indication that the group auditor will not be able to be sufficiently and appropriately involved in the work of the component auditor.</ns0:t>
      </ns0:r>
    </ns0:p>
    <ns0:p ns0:rsidR="00000000" ns0:rsidDel="00000000" ns0:rsidP="00000000" ns0:rsidRDefault="00000000" ns0:rsidRPr="00000000" ns1:paraId="000000B0">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0:rsidDel="00000000" ns0:rsidP="00000000" ns0:rsidRDefault="00000000" ns0:rsidRPr="00000000" ns1:paraId="000000B1">
      <ns0:pPr>
        <ns0:pStyle ns0:val="Heading1"/>
      </ns0:pPr>
      <ns0:bookmarkStart ns0:colFirst="0" ns0:colLast="0" ns0:name="_inconclusion0292" ns0:id="7"/>
      <ns0:bookmarkEnd ns0:id="7"/>
      <ns0:r>
        <ns0:rPr>
          <ns0:rtl ns0:val="0"/>
        </ns0:rPr>
        <ns0:t xml:space="preserve">IN CONCLUSION</ns0:t>
      </ns0:r>
    </ns0:p>
    <ns0:p ns0:rsidR="00000000" ns0:rsidDel="00000000" ns0:rsidP="00000000" ns0:rsidRDefault="00000000" ns0:rsidRPr="00000000" ns1:paraId="000000B2">
      <ns0:pPr>
        <ns0:pStyle ns0:val="Heading1"/>
      </ns0:pPr>
      <ns0:bookmarkStart ns0:colFirst="0" ns0:colLast="0" ns0:name="_features0292" ns0:id="8"/>
      <ns0:bookmarkEnd ns0:id="8"/>
      <ns0:r>
        <ns0:rPr>
          <ns0:rtl ns0:val="0"/>
        </ns0:rPr>
        <ns0:t xml:space="preserve">Features</ns0:t>
      </ns0:r>
    </ns0:p>
    <ns0:p ns0:rsidR="00000000" ns0:rsidDel="00000000" ns0:rsidP="00000000" ns0:rsidRDefault="00000000" ns0:rsidRPr="00000000" ns1:paraId="000000B3">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B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B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B6">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B7">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