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fz4cncng0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10.31 – Discussions with Those Charged with Governance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Period End: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Prepared by: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n8r42a4yb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Details of Interviewee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287.440882816605"/>
        <w:gridCol w:w="1200.1261166579086"/>
        <w:gridCol w:w="2188.7545980031528"/>
        <w:gridCol w:w="683.6784025223333"/>
        <w:tblGridChange w:id="0">
          <w:tblGrid>
            <w:gridCol w:w="5287.440882816605"/>
            <w:gridCol w:w="1200.1261166579086"/>
            <w:gridCol w:w="2188.7545980031528"/>
            <w:gridCol w:w="683.67840252233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Auditor’s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Interviewee position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How will this questionnaire be completed?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Electronic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Do you want to leave a space for interviewee to sign?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Interviewee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de8mj4sks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General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158.4100418410035"/>
        <w:gridCol w:w="1165.1046025104602"/>
        <w:gridCol w:w="1356.0251046025105"/>
        <w:gridCol w:w="680.4602510460251"/>
        <w:tblGridChange w:id="0">
          <w:tblGrid>
            <w:gridCol w:w="6158.4100418410035"/>
            <w:gridCol w:w="1165.1046025104602"/>
            <w:gridCol w:w="1356.0251046025105"/>
            <w:gridCol w:w="680.460251046025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Auditor’s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Business risks identified in the current period that could affect the financial reporting objectives and how those risks were addressed.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New contracts, including lease agreements, entered into during the reporting period.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Changes to the terms and conditions of contracts entered into in the current or prior periods that could materially affect the company’s financial statements. Consider: finance and debt contracts or covenants; lease agreements; customer and supplier agreements.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Changes from the prior year in specific laws and regulations that may have an effect on the financial statements.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Any related party transactions and relationships. Consider: identification of related parties; nature of relationships; transactions and balances.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Controls established to identify and account for related parties, and to authorise and approve significant related party transactions, especially those outside the normal course of business.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Any changes to the business activities or operations that had a noticeable effect on its operations or financial results. Consider: changes to objectives and strategies; new or discontinued products or services; new locations; key customers; suppliers; industry changes; changes to entity structure.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Any changes in key personnel and the accounting and financial reporting team.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Assessment of the risk that the financial statements may be materially misstated due to non‑compliance with laws and regulations. Consider: how risks are assessed; identification process; known or suspected non‑compliance; potential risk areas.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Any instance of known or suspected non‑compliance with laws and regulations.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Communications the company has received, or expects to receive, from regulatory agencies.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Findings and recommendations made in the current period related to identified control deficiencies affecting financial reporting and preparation of the financial statements.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Actions taken by management in response to these findings and recommendations.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Assessment of the risk that the entity may be used for money‑laundering or terrorist financing. Consider: geographic location; cash transactions; international receipts or payments; reputation; ownership; unusual transactions.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Established policies and procedures to deal with identification and reporting of suspicious and unusual transactions.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Any conditions or circumstances that would render a director ineligible to be appointed as a director (Companies Act, 2008, section 69).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Personal financial interests in respect of transactions with the company, including required disclosures and restrictions on participation.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2zugh620t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Going Concern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938.117154811715"/>
        <w:gridCol w:w="1165.1046025104602"/>
        <w:gridCol w:w="1576.3179916317993"/>
        <w:gridCol w:w="680.4602510460251"/>
        <w:tblGridChange w:id="0">
          <w:tblGrid>
            <w:gridCol w:w="5938.117154811715"/>
            <w:gridCol w:w="1165.1046025104602"/>
            <w:gridCol w:w="1576.3179916317993"/>
            <w:gridCol w:w="680.460251046025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Auditor’s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Ability to continue as a going concern. Consider: twelve‑month period; events or conditions casting doubt; how they will be addressed.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0x7zkdk1z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Subsequent Events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923.430962343096"/>
        <w:gridCol w:w="1165.1046025104602"/>
        <w:gridCol w:w="1591.0041841004183"/>
        <w:gridCol w:w="680.4602510460251"/>
        <w:tblGridChange w:id="0">
          <w:tblGrid>
            <w:gridCol w:w="5923.430962343096"/>
            <w:gridCol w:w="1165.1046025104602"/>
            <w:gridCol w:w="1591.0041841004183"/>
            <w:gridCol w:w="680.460251046025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Auditor’s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Any significant events that have occurred after the date of the financial statements that may affect the company’s financial statements.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la5g5w2uf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Fraud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996.861924686192"/>
        <w:gridCol w:w="1165.1046025104602"/>
        <w:gridCol w:w="1517.5732217573222"/>
        <w:gridCol w:w="680.4602510460251"/>
        <w:tblGridChange w:id="0">
          <w:tblGrid>
            <w:gridCol w:w="5996.861924686192"/>
            <w:gridCol w:w="1165.1046025104602"/>
            <w:gridCol w:w="1517.5732217573222"/>
            <w:gridCol w:w="680.460251046025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Auditor’s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Assessment of the risk that the financial statements may be materially misstated due to fraud, including nature, extent and frequency of assessments.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Any instances of actual, suspected or alleged fraud affecting the entity.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Incentives to commit fraud. Consider: pressure on results; performance‑based compensation; financial targets; lifestyle changes.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Opportunities to commit fraud. Consider: high‑risk balances and locations; control overrides; non‑standard transactions.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Rationalisation of fraudulent or unethical behaviour. Consider: staff turnover; strained relationships; management ethics and tone.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Responsibilities regarding preventing, detecting and resolving fraud. Consider: understanding of duties; communications; reporting channels.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Specific procedures carried out by internal audit to prevent, detect and resolve fraud.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x9vofhjat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 Environment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055.60669456067"/>
        <w:gridCol w:w="1165.1046025104602"/>
        <w:gridCol w:w="1458.828451882845"/>
        <w:gridCol w:w="680.4602510460251"/>
        <w:tblGridChange w:id="0">
          <w:tblGrid>
            <w:gridCol w:w="6055.60669456067"/>
            <w:gridCol w:w="1165.1046025104602"/>
            <w:gridCol w:w="1458.828451882845"/>
            <w:gridCol w:w="680.460251046025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Auditor’s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Risks arising from the use of IT that may affect financial reporting and how those risks were addressed. Consider: data integrity; IT changes; software updates; IT strategy alignment.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Nature and extent of changes made to the IT environment during the period. Consider: system changes; new systems; data conversions; database changes; storage of financial information.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Nature and extent of configurations made to the accounting software and IT applications integrated with it.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tfhphexu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Accounting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996.861924686192"/>
        <w:gridCol w:w="1165.1046025104602"/>
        <w:gridCol w:w="1517.5732217573222"/>
        <w:gridCol w:w="680.4602510460251"/>
        <w:tblGridChange w:id="0">
          <w:tblGrid>
            <w:gridCol w:w="5996.861924686192"/>
            <w:gridCol w:w="1165.1046025104602"/>
            <w:gridCol w:w="1517.5732217573222"/>
            <w:gridCol w:w="680.460251046025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Auditor’s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Changes from the prior year in significant accounting policies used, including changes due to standards or operations.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Changes from the prior year made to accounting estimates, or the need to revise estimates due to changes in circumstances or IFRS for SMEs developments.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Significant, unusual or complex transactions, events or matters that affected or may affect the financial statements and disclosures.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