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3.0.2</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3.0.0, in the SharePointPCF repository under</w:t>
      </w:r>
      <w:r>
        <w:t xml:space="preserve"> </w:t>
      </w:r>
      <w:r>
        <w:rPr>
          <w:rStyle w:val="VerbatimChar"/>
        </w:rPr>
        <w:t xml:space="preserve">data-model-explorer-live</w:t>
      </w:r>
      <w:r>
        <w:t xml:space="preserve">. Versions 1.9.3 (</w:t>
      </w:r>
      <w:r>
        <w:rPr>
          <w:rStyle w:val="VerbatimChar"/>
        </w:rPr>
        <w:t xml:space="preserve">data-model-explorer</w:t>
      </w:r>
      <w:r>
        <w:t xml:space="preserve">) and 2.0 (</w:t>
      </w:r>
      <w:r>
        <w:rPr>
          <w:rStyle w:val="VerbatimChar"/>
        </w:rPr>
        <w:t xml:space="preserve">data-model-explorer-v2</w:t>
      </w:r>
      <w:r>
        <w:t xml:space="preserve">) stay as they are, with their own guides.</w:t>
      </w:r>
    </w:p>
    <w:p>
      <w:pPr>
        <w:pStyle w:val="BodyText"/>
      </w:pPr>
      <w:r>
        <w:rPr>
          <w:bCs/>
          <w:b/>
        </w:rPr>
        <w:t xml:space="preserve">New in 3.0</w:t>
      </w:r>
    </w:p>
    <w:p>
      <w:pPr>
        <w:numPr>
          <w:ilvl w:val="0"/>
          <w:numId w:val="1001"/>
        </w:numPr>
        <w:pStyle w:val="Compact"/>
      </w:pPr>
      <w:r>
        <w:t xml:space="preserve">The page can run inside a Dynamics 365 environment as a web resource and read the tables directly (Using it inside Dynamics 365).</w:t>
      </w:r>
    </w:p>
    <w:p>
      <w:pPr>
        <w:numPr>
          <w:ilvl w:val="0"/>
          <w:numId w:val="1001"/>
        </w:numPr>
        <w:pStyle w:val="Compact"/>
      </w:pPr>
      <w:r>
        <w:rPr>
          <w:bCs/>
          <w:b/>
        </w:rPr>
        <w:t xml:space="preserve">Load a solution as the data model:</w:t>
      </w:r>
      <w:r>
        <w:t xml:space="preserve"> </w:t>
      </w:r>
      <w:r>
        <w:t xml:space="preserve">the model comes from what is really in the environment.</w:t>
      </w:r>
    </w:p>
    <w:p>
      <w:pPr>
        <w:numPr>
          <w:ilvl w:val="0"/>
          <w:numId w:val="1001"/>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1"/>
        </w:numPr>
        <w:pStyle w:val="Compact"/>
      </w:pPr>
      <w:r>
        <w:rPr>
          <w:bCs/>
          <w:b/>
        </w:rPr>
        <w:t xml:space="preserve">Managed environments:</w:t>
      </w:r>
      <w:r>
        <w:t xml:space="preserve"> </w:t>
      </w:r>
      <w:r>
        <w:t xml:space="preserve">find anything created or changed directly in test or production (unmanaged).</w:t>
      </w:r>
    </w:p>
    <w:p>
      <w:pPr>
        <w:numPr>
          <w:ilvl w:val="0"/>
          <w:numId w:val="1001"/>
        </w:numPr>
        <w:pStyle w:val="Compact"/>
      </w:pPr>
      <w:r>
        <w:t xml:space="preserve">Opened as a file, it is the same page as 2.0.</w:t>
      </w:r>
    </w:p>
    <w:p>
      <w:pPr>
        <w:pStyle w:val="FirstParagraph"/>
      </w:pPr>
      <w:r>
        <w:rPr>
          <w:bCs/>
          <w:b/>
        </w:rPr>
        <w:t xml:space="preserve">New in 2.0</w:t>
      </w:r>
    </w:p>
    <w:p>
      <w:pPr>
        <w:numPr>
          <w:ilvl w:val="0"/>
          <w:numId w:val="1002"/>
        </w:numPr>
        <w:pStyle w:val="Compact"/>
      </w:pPr>
      <w:r>
        <w:t xml:space="preserve">The ERD is much faster: 300 tables and 900 relationships draw in about 2.5 seconds (78 seconds in 1.9.3), and dragging and hovering stay quick on big diagrams.</w:t>
      </w:r>
    </w:p>
    <w:p>
      <w:pPr>
        <w:numPr>
          <w:ilvl w:val="0"/>
          <w:numId w:val="1002"/>
        </w:numPr>
        <w:pStyle w:val="Compact"/>
      </w:pPr>
      <w:r>
        <w:t xml:space="preserve">Every lookup and N:N row in a diagram’s table box has an eye, to hide or show that relationship (The ERD).</w:t>
      </w:r>
    </w:p>
    <w:p>
      <w:pPr>
        <w:numPr>
          <w:ilvl w:val="0"/>
          <w:numId w:val="1002"/>
        </w:numPr>
        <w:pStyle w:val="Compact"/>
      </w:pPr>
      <w:r>
        <w:rPr>
          <w:bCs/>
          <w:b/>
        </w:rPr>
        <w:t xml:space="preserve">Direction</w:t>
      </w:r>
      <w:r>
        <w:t xml:space="preserve"> </w:t>
      </w:r>
      <w:r>
        <w:t xml:space="preserve">now shapes the layout (The ERD).</w:t>
      </w:r>
    </w:p>
    <w:p>
      <w:pPr>
        <w:numPr>
          <w:ilvl w:val="0"/>
          <w:numId w:val="1002"/>
        </w:numPr>
        <w:pStyle w:val="Compact"/>
      </w:pPr>
      <w:r>
        <w:rPr>
          <w:bCs/>
          <w:b/>
        </w:rPr>
        <w:t xml:space="preserve">Export → Read-only copy (.html)…</w:t>
      </w:r>
      <w:r>
        <w:t xml:space="preserve"> </w:t>
      </w:r>
      <w:r>
        <w:t xml:space="preserve">makes a copy for a client or support team (Sharing a read-only copy).</w:t>
      </w:r>
    </w:p>
    <w:p>
      <w:pPr>
        <w:numPr>
          <w:ilvl w:val="0"/>
          <w:numId w:val="1002"/>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3"/>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3"/>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3"/>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4"/>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4"/>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4"/>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5"/>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5"/>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5"/>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5"/>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5"/>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6"/>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6"/>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6"/>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6"/>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6"/>
        </w:numPr>
        <w:pStyle w:val="Compact"/>
      </w:pPr>
      <w:r>
        <w:rPr>
          <w:bCs/>
          <w:b/>
        </w:rPr>
        <w:t xml:space="preserve">Columns ▾</w:t>
      </w:r>
      <w:r>
        <w:t xml:space="preserve"> </w:t>
      </w:r>
      <w:r>
        <w:t xml:space="preserve">shows or hides columns. Schema Name, Type and Relationship Name are hidden by default.</w:t>
      </w:r>
    </w:p>
    <w:p>
      <w:pPr>
        <w:numPr>
          <w:ilvl w:val="0"/>
          <w:numId w:val="1006"/>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7"/>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7"/>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7"/>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7"/>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8"/>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8"/>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8"/>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8"/>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9"/>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9"/>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9"/>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9"/>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0"/>
        </w:numPr>
        <w:pStyle w:val="Compact"/>
      </w:pPr>
      <w:r>
        <w:t xml:space="preserve">Open the workbook and make any edits you want them to see.</w:t>
      </w:r>
    </w:p>
    <w:p>
      <w:pPr>
        <w:numPr>
          <w:ilvl w:val="0"/>
          <w:numId w:val="1010"/>
        </w:numPr>
        <w:pStyle w:val="Compact"/>
      </w:pPr>
      <w:r>
        <w:rPr>
          <w:bCs/>
          <w:b/>
        </w:rPr>
        <w:t xml:space="preserve">Export ▾ → Read-only copy (.html)…</w:t>
      </w:r>
      <w:r>
        <w:t xml:space="preserve">.</w:t>
      </w:r>
    </w:p>
    <w:p>
      <w:pPr>
        <w:numPr>
          <w:ilvl w:val="0"/>
          <w:numId w:val="1010"/>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0"/>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91"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2" w:name="putting-it-in-an-environment"/>
    <w:p>
      <w:pPr>
        <w:pStyle w:val="Heading3"/>
      </w:pPr>
      <w:r>
        <w:t xml:space="preserve">Putting it in an environment</w:t>
      </w:r>
    </w:p>
    <w:p>
      <w:pPr>
        <w:numPr>
          <w:ilvl w:val="0"/>
          <w:numId w:val="1011"/>
        </w:numPr>
        <w:pStyle w:val="Compact"/>
      </w:pPr>
      <w:r>
        <w:t xml:space="preserve">Get the solution zip:</w:t>
      </w:r>
      <w:r>
        <w:t xml:space="preserve"> </w:t>
      </w:r>
      <w:r>
        <w:rPr>
          <w:rStyle w:val="VerbatimChar"/>
        </w:rPr>
        <w:t xml:space="preserve">FORMUS_DataModelExplorer_3_0_2_0.zip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1"/>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1"/>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brings it back.</w:t>
      </w:r>
    </w:p>
    <w:p>
      <w:pPr>
        <w:pStyle w:val="CaptionedFigure"/>
      </w:pPr>
      <w:r>
        <w:drawing>
          <wp:inline>
            <wp:extent cx="3063240" cy="7318787"/>
            <wp:effectExtent b="0" l="0" r="0" t="0"/>
            <wp:docPr descr="This environment" title="" id="80" name="Picture"/>
            <a:graphic>
              <a:graphicData uri="http://schemas.openxmlformats.org/drawingml/2006/picture">
                <pic:pic>
                  <pic:nvPicPr>
                    <pic:cNvPr descr="images/20-environment.png" id="81" name="Picture"/>
                    <pic:cNvPicPr>
                      <a:picLocks noChangeArrowheads="1" noChangeAspect="1"/>
                    </pic:cNvPicPr>
                  </pic:nvPicPr>
                  <pic:blipFill>
                    <a:blip r:embed="rId79"/>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2"/>
    <w:bookmarkStart w:id="83" w:name="loading-a-solution-as-the-data-model"/>
    <w:p>
      <w:pPr>
        <w:pStyle w:val="Heading3"/>
      </w:pPr>
      <w:r>
        <w:t xml:space="preserve">Loading a solution as the data model</w:t>
      </w:r>
    </w:p>
    <w:p>
      <w:pPr>
        <w:numPr>
          <w:ilvl w:val="0"/>
          <w:numId w:val="1012"/>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2"/>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2"/>
        </w:numPr>
        <w:pStyle w:val="Compact"/>
      </w:pPr>
      <w:r>
        <w:t xml:space="preserve">The model opens like a workbook, in the template layout, so everything works on it: Checks, the ERD, search and the exports.</w:t>
      </w:r>
      <w:r>
        <w:t xml:space="preserve"> </w:t>
      </w:r>
      <w:r>
        <w:rPr>
          <w:bCs/>
          <w:b/>
        </w:rPr>
        <w:t xml:space="preserve">Export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3"/>
    <w:bookmarkStart w:id="90" w:name="X6d3155be520a2a4d90bd61d6ed65065a4fc9923"/>
    <w:p>
      <w:pPr>
        <w:pStyle w:val="Heading3"/>
      </w:pPr>
      <w:r>
        <w:t xml:space="preserve">Checking the workbook against the environment</w:t>
      </w:r>
    </w:p>
    <w:p>
      <w:pPr>
        <w:numPr>
          <w:ilvl w:val="0"/>
          <w:numId w:val="1013"/>
        </w:numPr>
        <w:pStyle w:val="Compact"/>
      </w:pPr>
      <w:r>
        <w:t xml:space="preserve">Open the data-model workbook (the design).</w:t>
      </w:r>
    </w:p>
    <w:p>
      <w:pPr>
        <w:numPr>
          <w:ilvl w:val="0"/>
          <w:numId w:val="1013"/>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4"/>
        </w:numPr>
        <w:pStyle w:val="Compact"/>
      </w:pPr>
      <w:r>
        <w:rPr>
          <w:bCs/>
          <w:b/>
        </w:rPr>
        <w:t xml:space="preserve">a solution</w:t>
      </w:r>
      <w:r>
        <w:t xml:space="preserve">, which also finds tables in the solution that the workbook doesn’t have; or</w:t>
      </w:r>
    </w:p>
    <w:p>
      <w:pPr>
        <w:numPr>
          <w:ilvl w:val="1"/>
          <w:numId w:val="1014"/>
        </w:numPr>
        <w:pStyle w:val="Compact"/>
      </w:pPr>
      <w:r>
        <w:rPr>
          <w:bCs/>
          <w:b/>
        </w:rPr>
        <w:t xml:space="preserve">Default solution: the tables in this workbook</w:t>
      </w:r>
      <w:r>
        <w:t xml:space="preserve">, which reads every table the workbook names, wherever it came from.</w:t>
      </w:r>
    </w:p>
    <w:p>
      <w:pPr>
        <w:numPr>
          <w:ilvl w:val="0"/>
          <w:numId w:val="1013"/>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3"/>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5" name="Picture"/>
            <a:graphic>
              <a:graphicData uri="http://schemas.openxmlformats.org/drawingml/2006/picture">
                <pic:pic>
                  <pic:nvPicPr>
                    <pic:cNvPr descr="images/21-environment-check.png" id="86" name="Picture"/>
                    <pic:cNvPicPr>
                      <a:picLocks noChangeArrowheads="1" noChangeAspect="1"/>
                    </pic:cNvPicPr>
                  </pic:nvPicPr>
                  <pic:blipFill>
                    <a:blip r:embed="rId84"/>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88" name="Picture"/>
            <a:graphic>
              <a:graphicData uri="http://schemas.openxmlformats.org/drawingml/2006/picture">
                <pic:pic>
                  <pic:nvPicPr>
                    <pic:cNvPr descr="images/22-environment-differences.png" id="89" name="Picture"/>
                    <pic:cNvPicPr>
                      <a:picLocks noChangeArrowheads="1" noChangeAspect="1"/>
                    </pic:cNvPicPr>
                  </pic:nvPicPr>
                  <pic:blipFill>
                    <a:blip r:embed="rId87"/>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0"/>
    <w:bookmarkEnd w:id="91"/>
    <w:bookmarkStart w:id="10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93" name="Picture"/>
            <a:graphic>
              <a:graphicData uri="http://schemas.openxmlformats.org/drawingml/2006/picture">
                <pic:pic>
                  <pic:nvPicPr>
                    <pic:cNvPr descr="images/14-more.png" id="94" name="Picture"/>
                    <pic:cNvPicPr>
                      <a:picLocks noChangeArrowheads="1" noChangeAspect="1"/>
                    </pic:cNvPicPr>
                  </pic:nvPicPr>
                  <pic:blipFill>
                    <a:blip r:embed="rId9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95"/>
    <w:bookmarkStart w:id="96" w:name="bringing-an-older-workbook-up-to-date"/>
    <w:p>
      <w:pPr>
        <w:pStyle w:val="Heading3"/>
      </w:pPr>
      <w:r>
        <w:t xml:space="preserve">Bringing an older workbook up to date</w:t>
      </w:r>
    </w:p>
    <w:p>
      <w:pPr>
        <w:numPr>
          <w:ilvl w:val="0"/>
          <w:numId w:val="1015"/>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5"/>
        </w:numPr>
        <w:pStyle w:val="Compact"/>
      </w:pPr>
      <w:r>
        <w:t xml:space="preserve">Fill them in where you need them.</w:t>
      </w:r>
    </w:p>
    <w:p>
      <w:pPr>
        <w:numPr>
          <w:ilvl w:val="0"/>
          <w:numId w:val="1015"/>
        </w:numPr>
        <w:pStyle w:val="Compact"/>
      </w:pPr>
      <w:r>
        <w:t xml:space="preserve">Save it one of two ways:</w:t>
      </w:r>
    </w:p>
    <w:p>
      <w:pPr>
        <w:numPr>
          <w:ilvl w:val="1"/>
          <w:numId w:val="1016"/>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6"/>
        </w:numPr>
        <w:pStyle w:val="Compact"/>
      </w:pPr>
      <w:r>
        <w:rPr>
          <w:bCs/>
          <w:b/>
        </w:rPr>
        <w:t xml:space="preserve">New version in template format</w:t>
      </w:r>
      <w:r>
        <w:t xml:space="preserve">: the whole workbook rebuilt in the current template layout, every column and detail included.</w:t>
      </w:r>
    </w:p>
    <w:bookmarkEnd w:id="96"/>
    <w:bookmarkStart w:id="100" w:name="using-your-own-template"/>
    <w:p>
      <w:pPr>
        <w:pStyle w:val="Heading3"/>
      </w:pPr>
      <w:r>
        <w:t xml:space="preserve">Using your own template</w:t>
      </w:r>
    </w:p>
    <w:p>
      <w:pPr>
        <w:numPr>
          <w:ilvl w:val="0"/>
          <w:numId w:val="1017"/>
        </w:numPr>
        <w:pStyle w:val="Compact"/>
      </w:pPr>
      <w:r>
        <w:rPr>
          <w:bCs/>
          <w:b/>
        </w:rPr>
        <w:t xml:space="preserve">More ▾ → Template → Download blank template</w:t>
      </w:r>
      <w:r>
        <w:t xml:space="preserve"> </w:t>
      </w:r>
      <w:r>
        <w:t xml:space="preserve">to start from the current one.</w:t>
      </w:r>
    </w:p>
    <w:p>
      <w:pPr>
        <w:numPr>
          <w:ilvl w:val="0"/>
          <w:numId w:val="1017"/>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7"/>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7"/>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98" name="Picture"/>
            <a:graphic>
              <a:graphicData uri="http://schemas.openxmlformats.org/drawingml/2006/picture">
                <pic:pic>
                  <pic:nvPicPr>
                    <pic:cNvPr descr="images/15-template.png" id="99" name="Picture"/>
                    <pic:cNvPicPr>
                      <a:picLocks noChangeArrowheads="1" noChangeAspect="1"/>
                    </pic:cNvPicPr>
                  </pic:nvPicPr>
                  <pic:blipFill>
                    <a:blip r:embed="rId9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0"/>
    <w:bookmarkStart w:id="10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1"/>
    <w:bookmarkEnd w:id="102"/>
    <w:bookmarkStart w:id="10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8"/>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8"/>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8"/>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8"/>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8"/>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4" name="Picture"/>
            <a:graphic>
              <a:graphicData uri="http://schemas.openxmlformats.org/drawingml/2006/picture">
                <pic:pic>
                  <pic:nvPicPr>
                    <pic:cNvPr descr="images/16-dataverse.png" id="105" name="Picture"/>
                    <pic:cNvPicPr>
                      <a:picLocks noChangeArrowheads="1" noChangeAspect="1"/>
                    </pic:cNvPicPr>
                  </pic:nvPicPr>
                  <pic:blipFill>
                    <a:blip r:embed="rId10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06"/>
    <w:bookmarkStart w:id="11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9"/>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9"/>
        </w:numPr>
        <w:pStyle w:val="Compact"/>
      </w:pPr>
      <w:r>
        <w:t xml:space="preserve">Fill in the rest of the dialog. The prefix and choice value prefix are suggested from the workbook.</w:t>
      </w:r>
    </w:p>
    <w:p>
      <w:pPr>
        <w:numPr>
          <w:ilvl w:val="0"/>
          <w:numId w:val="1019"/>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9"/>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08" name="Picture"/>
            <a:graphic>
              <a:graphicData uri="http://schemas.openxmlformats.org/drawingml/2006/picture">
                <pic:pic>
                  <pic:nvPicPr>
                    <pic:cNvPr descr="images/17-solution.png" id="109" name="Picture"/>
                    <pic:cNvPicPr>
                      <a:picLocks noChangeArrowheads="1" noChangeAspect="1"/>
                    </pic:cNvPicPr>
                  </pic:nvPicPr>
                  <pic:blipFill>
                    <a:blip r:embed="rId107"/>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0"/>
    <w:bookmarkStart w:id="11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0"/>
        </w:numPr>
      </w:pPr>
      <w:r>
        <w:t xml:space="preserve">Unzip the build into a folder.</w:t>
      </w:r>
    </w:p>
    <w:p>
      <w:pPr>
        <w:numPr>
          <w:ilvl w:val="0"/>
          <w:numId w:val="1020"/>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0"/>
        </w:numPr>
      </w:pPr>
      <w:r>
        <w:t xml:space="preserve">If the Power Platform CLI (</w:t>
      </w:r>
      <w:r>
        <w:rPr>
          <w:rStyle w:val="VerbatimChar"/>
        </w:rPr>
        <w:t xml:space="preserve">pac</w:t>
      </w:r>
      <w:r>
        <w:t xml:space="preserve">) is missing, the script installs it (with the .NET SDK, or winget on Windows).</w:t>
      </w:r>
    </w:p>
    <w:p>
      <w:pPr>
        <w:numPr>
          <w:ilvl w:val="0"/>
          <w:numId w:val="1020"/>
        </w:numPr>
      </w:pPr>
      <w:r>
        <w:t xml:space="preserve">A browser window opens: sign in.</w:t>
      </w:r>
    </w:p>
    <w:p>
      <w:pPr>
        <w:numPr>
          <w:ilvl w:val="0"/>
          <w:numId w:val="1020"/>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111"/>
    <w:bookmarkStart w:id="112" w:name="after-the-import"/>
    <w:p>
      <w:pPr>
        <w:pStyle w:val="Heading2"/>
      </w:pPr>
      <w:r>
        <w:t xml:space="preserve">After the import</w:t>
      </w:r>
    </w:p>
    <w:p>
      <w:pPr>
        <w:numPr>
          <w:ilvl w:val="0"/>
          <w:numId w:val="1021"/>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1"/>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1"/>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1"/>
        </w:numPr>
        <w:pStyle w:val="Compact"/>
      </w:pPr>
      <w:r>
        <w:t xml:space="preserve">Lay out forms and views.</w:t>
      </w:r>
    </w:p>
    <w:p>
      <w:pPr>
        <w:numPr>
          <w:ilvl w:val="0"/>
          <w:numId w:val="1021"/>
        </w:numPr>
        <w:pStyle w:val="Compact"/>
      </w:pPr>
      <w:r>
        <w:t xml:space="preserve">Optionally, compare the workbook with the environment (Comparing with Dataverse) to confirm everything landed.</w:t>
      </w:r>
    </w:p>
    <w:p>
      <w:pPr>
        <w:numPr>
          <w:ilvl w:val="0"/>
          <w:numId w:val="1021"/>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2"/>
    <w:bookmarkStart w:id="11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3"/>
    <w:bookmarkStart w:id="11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2"/>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2"/>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2"/>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2"/>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2"/>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2"/>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92" Type="http://schemas.openxmlformats.org/officeDocument/2006/relationships/image" Target="media/rId92.png"/><Relationship Id="rId97" Type="http://schemas.openxmlformats.org/officeDocument/2006/relationships/image" Target="media/rId97.png"/><Relationship Id="rId103" Type="http://schemas.openxmlformats.org/officeDocument/2006/relationships/image" Target="media/rId103.png"/><Relationship Id="rId107" Type="http://schemas.openxmlformats.org/officeDocument/2006/relationships/image" Target="media/rId107.png"/><Relationship Id="rId41" Type="http://schemas.openxmlformats.org/officeDocument/2006/relationships/image" Target="media/rId41.png"/><Relationship Id="rId75" Type="http://schemas.openxmlformats.org/officeDocument/2006/relationships/image" Target="media/rId75.png"/><Relationship Id="rId79" Type="http://schemas.openxmlformats.org/officeDocument/2006/relationships/image" Target="media/rId79.png"/><Relationship Id="rId84" Type="http://schemas.openxmlformats.org/officeDocument/2006/relationships/image" Target="media/rId84.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2026-10-26T11:12:58Z</dcterms:created>
  <dcterms:modified xsi:type="dcterms:W3CDTF">2026-10-26T11:12:58Z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3.0.2 · 23 October 2026</vt:lpwstr>
  </property>
</Properties>
</file>