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4.0.3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4.0.0, in the SharePointPCF repository under</w:t>
      </w:r>
      <w:r>
        <w:t xml:space="preserve"> </w:t>
      </w:r>
      <w:r>
        <w:rPr>
          <w:rStyle w:val="VerbatimChar"/>
        </w:rPr>
        <w:t xml:space="preserve">data-model-explorer-v4</w:t>
      </w:r>
      <w:r>
        <w:t xml:space="preserve">. Versions 1.9.3 (</w:t>
      </w:r>
      <w:r>
        <w:rPr>
          <w:rStyle w:val="VerbatimChar"/>
        </w:rPr>
        <w:t xml:space="preserve">data-model-explorer</w:t>
      </w:r>
      <w:r>
        <w:t xml:space="preserve">), 2.0 (</w:t>
      </w:r>
      <w:r>
        <w:rPr>
          <w:rStyle w:val="VerbatimChar"/>
        </w:rPr>
        <w:t xml:space="preserve">data-model-explorer-v2</w:t>
      </w:r>
      <w:r>
        <w:t xml:space="preserve">) and 3.0 (</w:t>
      </w:r>
      <w:r>
        <w:rPr>
          <w:rStyle w:val="VerbatimChar"/>
        </w:rPr>
        <w:t xml:space="preserve">data-model-explorer-live</w:t>
      </w:r>
      <w:r>
        <w:t xml:space="preserve">) stay as they are, with their own guides.</w:t>
      </w:r>
    </w:p>
    <w:p>
      <w:pPr>
        <w:pStyle w:val="BodyText"/>
      </w:pPr>
      <w:r>
        <w:rPr>
          <w:bCs/>
          <w:b/>
        </w:rPr>
        <w:t xml:space="preserve">New in 4.0</w:t>
      </w:r>
    </w:p>
    <w:p>
      <w:pPr>
        <w:numPr>
          <w:ilvl w:val="0"/>
          <w:numId w:val="1001"/>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1"/>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1"/>
        </w:numPr>
        <w:pStyle w:val="Compact"/>
      </w:pPr>
      <w:r>
        <w:t xml:space="preserve">Read-only copies can download the workbook as an Excel file, formatting and edits included (Sharing a read-only copy).</w:t>
      </w:r>
    </w:p>
    <w:p>
      <w:pPr>
        <w:numPr>
          <w:ilvl w:val="0"/>
          <w:numId w:val="1001"/>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2"/>
        </w:numPr>
        <w:pStyle w:val="Compact"/>
      </w:pPr>
      <w:r>
        <w:t xml:space="preserve">The page can run inside a Dynamics 365 environment as a web resource and read the tables directly (Using it inside Dynamics 365).</w:t>
      </w:r>
    </w:p>
    <w:p>
      <w:pPr>
        <w:numPr>
          <w:ilvl w:val="0"/>
          <w:numId w:val="1002"/>
        </w:numPr>
        <w:pStyle w:val="Compact"/>
      </w:pPr>
      <w:r>
        <w:rPr>
          <w:bCs/>
          <w:b/>
        </w:rPr>
        <w:t xml:space="preserve">Load a solution as the data model:</w:t>
      </w:r>
      <w:r>
        <w:t xml:space="preserve"> </w:t>
      </w:r>
      <w:r>
        <w:t xml:space="preserve">the model comes from what is really in the environment.</w:t>
      </w:r>
    </w:p>
    <w:p>
      <w:pPr>
        <w:numPr>
          <w:ilvl w:val="0"/>
          <w:numId w:val="1002"/>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2"/>
        </w:numPr>
        <w:pStyle w:val="Compact"/>
      </w:pPr>
      <w:r>
        <w:rPr>
          <w:bCs/>
          <w:b/>
        </w:rPr>
        <w:t xml:space="preserve">Managed environments:</w:t>
      </w:r>
      <w:r>
        <w:t xml:space="preserve"> </w:t>
      </w:r>
      <w:r>
        <w:t xml:space="preserve">find anything created or changed directly in test or production (unmanaged).</w:t>
      </w:r>
    </w:p>
    <w:p>
      <w:pPr>
        <w:numPr>
          <w:ilvl w:val="0"/>
          <w:numId w:val="1002"/>
        </w:numPr>
        <w:pStyle w:val="Compact"/>
      </w:pPr>
      <w:r>
        <w:t xml:space="preserve">Opened as a file, it is the same page as 2.0.</w:t>
      </w:r>
    </w:p>
    <w:p>
      <w:pPr>
        <w:pStyle w:val="FirstParagraph"/>
      </w:pPr>
      <w:r>
        <w:rPr>
          <w:bCs/>
          <w:b/>
        </w:rPr>
        <w:t xml:space="preserve">New in 2.0</w:t>
      </w:r>
    </w:p>
    <w:p>
      <w:pPr>
        <w:numPr>
          <w:ilvl w:val="0"/>
          <w:numId w:val="1003"/>
        </w:numPr>
        <w:pStyle w:val="Compact"/>
      </w:pPr>
      <w:r>
        <w:t xml:space="preserve">The ERD is much faster: 300 tables and 900 relationships draw in about 2.5 seconds (78 seconds in 1.9.3), and dragging and hovering stay quick on big diagrams.</w:t>
      </w:r>
    </w:p>
    <w:p>
      <w:pPr>
        <w:numPr>
          <w:ilvl w:val="0"/>
          <w:numId w:val="1003"/>
        </w:numPr>
        <w:pStyle w:val="Compact"/>
      </w:pPr>
      <w:r>
        <w:t xml:space="preserve">Every lookup and N:N row in a diagram’s table box has an eye, to hide or show that relationship (The ERD).</w:t>
      </w:r>
    </w:p>
    <w:p>
      <w:pPr>
        <w:numPr>
          <w:ilvl w:val="0"/>
          <w:numId w:val="1003"/>
        </w:numPr>
        <w:pStyle w:val="Compact"/>
      </w:pPr>
      <w:r>
        <w:rPr>
          <w:bCs/>
          <w:b/>
        </w:rPr>
        <w:t xml:space="preserve">Direction</w:t>
      </w:r>
      <w:r>
        <w:t xml:space="preserve"> </w:t>
      </w:r>
      <w:r>
        <w:t xml:space="preserve">now shapes the layout (The ERD).</w:t>
      </w:r>
    </w:p>
    <w:p>
      <w:pPr>
        <w:numPr>
          <w:ilvl w:val="0"/>
          <w:numId w:val="1003"/>
        </w:numPr>
        <w:pStyle w:val="Compact"/>
      </w:pPr>
      <w:r>
        <w:rPr>
          <w:bCs/>
          <w:b/>
        </w:rPr>
        <w:t xml:space="preserve">Save &amp; share → Read-only copy (.html)…</w:t>
      </w:r>
      <w:r>
        <w:t xml:space="preserve"> </w:t>
      </w:r>
      <w:r>
        <w:t xml:space="preserve">makes a copy for a client or support team (Sharing a read-only copy).</w:t>
      </w:r>
    </w:p>
    <w:p>
      <w:pPr>
        <w:numPr>
          <w:ilvl w:val="0"/>
          <w:numId w:val="1003"/>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a solution (or This environment), Publishers and prefixes,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4"/>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4"/>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4"/>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5"/>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5"/>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5"/>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Compare with a solution…</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a solution).</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6"/>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6"/>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6"/>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6"/>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6"/>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7"/>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7"/>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7"/>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7"/>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7"/>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7"/>
        </w:numPr>
        <w:pStyle w:val="Compact"/>
      </w:pPr>
      <w:r>
        <w:rPr>
          <w:bCs/>
          <w:b/>
        </w:rPr>
        <w:t xml:space="preserve">Columns ▾</w:t>
      </w:r>
      <w:r>
        <w:t xml:space="preserve"> </w:t>
      </w:r>
      <w:r>
        <w:t xml:space="preserve">shows or hides columns. Schema Name, Type and Relationship Name are hidden by default.</w:t>
      </w:r>
    </w:p>
    <w:p>
      <w:pPr>
        <w:numPr>
          <w:ilvl w:val="0"/>
          <w:numId w:val="1007"/>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8"/>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8"/>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8"/>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8"/>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8"/>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8"/>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9"/>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9"/>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9"/>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9"/>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0"/>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0"/>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0"/>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0"/>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The file is then read back and every edit checked. If any edit can’t be written (for example there is no empty row left before the Forms section, or the sheet has an Excel table, a drawing, comments, or a formula on another sheet pointing at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1"/>
        </w:numPr>
        <w:pStyle w:val="Compact"/>
      </w:pPr>
      <w:r>
        <w:t xml:space="preserve">Open the workbook and make any edits you want them to see.</w:t>
      </w:r>
    </w:p>
    <w:p>
      <w:pPr>
        <w:numPr>
          <w:ilvl w:val="0"/>
          <w:numId w:val="1011"/>
        </w:numPr>
        <w:pStyle w:val="Compact"/>
      </w:pPr>
      <w:r>
        <w:rPr>
          <w:bCs/>
          <w:b/>
        </w:rPr>
        <w:t xml:space="preserve">Save &amp; share ▾ → Read-only copy (.html)…</w:t>
      </w:r>
      <w:r>
        <w:t xml:space="preserve">.</w:t>
      </w:r>
    </w:p>
    <w:p>
      <w:pPr>
        <w:numPr>
          <w:ilvl w:val="0"/>
          <w:numId w:val="1011"/>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1"/>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2"/>
        </w:numPr>
        <w:pStyle w:val="Compact"/>
      </w:pPr>
      <w:r>
        <w:t xml:space="preserve">Get the solution zip:</w:t>
      </w:r>
      <w:r>
        <w:t xml:space="preserve"> </w:t>
      </w:r>
      <w:r>
        <w:rPr>
          <w:rStyle w:val="VerbatimChar"/>
        </w:rPr>
        <w:t xml:space="preserve">FORMUS_DataModelExplorer_4_0_3_0.zip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2"/>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2"/>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3"/>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3"/>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3"/>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4"/>
        </w:numPr>
        <w:pStyle w:val="Compact"/>
      </w:pPr>
      <w:r>
        <w:t xml:space="preserve">Open the data-model workbook (the design).</w:t>
      </w:r>
    </w:p>
    <w:p>
      <w:pPr>
        <w:numPr>
          <w:ilvl w:val="0"/>
          <w:numId w:val="1014"/>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5"/>
        </w:numPr>
        <w:pStyle w:val="Compact"/>
      </w:pPr>
      <w:r>
        <w:rPr>
          <w:bCs/>
          <w:b/>
        </w:rPr>
        <w:t xml:space="preserve">a solution</w:t>
      </w:r>
      <w:r>
        <w:t xml:space="preserve">, which also finds tables in the solution that the workbook doesn’t have; or</w:t>
      </w:r>
    </w:p>
    <w:p>
      <w:pPr>
        <w:numPr>
          <w:ilvl w:val="1"/>
          <w:numId w:val="1015"/>
        </w:numPr>
        <w:pStyle w:val="Compact"/>
      </w:pPr>
      <w:r>
        <w:rPr>
          <w:bCs/>
          <w:b/>
        </w:rPr>
        <w:t xml:space="preserve">Default solution: the tables in this workbook</w:t>
      </w:r>
      <w:r>
        <w:t xml:space="preserve">, which reads every table the workbook names, wherever it came from.</w:t>
      </w:r>
    </w:p>
    <w:p>
      <w:pPr>
        <w:numPr>
          <w:ilvl w:val="0"/>
          <w:numId w:val="1014"/>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4"/>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106"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9" w:name="checking-a-workbook-against-the-template"/>
    <w:p>
      <w:pPr>
        <w:pStyle w:val="Heading3"/>
      </w:pPr>
      <w:r>
        <w:t xml:space="preserve">Checking a workbook against the template</w:t>
      </w:r>
    </w:p>
    <w:p>
      <w:pPr>
        <w:pStyle w:val="CaptionedFigure"/>
      </w:pPr>
      <w:r>
        <w:drawing>
          <wp:inline>
            <wp:extent cx="2258568" cy="2068731"/>
            <wp:effectExtent b="0" l="0" r="0" t="0"/>
            <wp:docPr descr="The Check menu" title="" id="97" name="Picture"/>
            <a:graphic>
              <a:graphicData uri="http://schemas.openxmlformats.org/drawingml/2006/picture">
                <pic:pic>
                  <pic:nvPicPr>
                    <pic:cNvPr descr="images/14-check.png" id="98" name="Picture"/>
                    <pic:cNvPicPr>
                      <a:picLocks noChangeArrowheads="1" noChangeAspect="1"/>
                    </pic:cNvPicPr>
                  </pic:nvPicPr>
                  <pic:blipFill>
                    <a:blip r:embed="rId96"/>
                    <a:stretch>
                      <a:fillRect/>
                    </a:stretch>
                  </pic:blipFill>
                  <pic:spPr bwMode="auto">
                    <a:xfrm>
                      <a:off x="0" y="0"/>
                      <a:ext cx="2258568" cy="2068731"/>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a solution…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99"/>
    <w:bookmarkStart w:id="100" w:name="bringing-an-older-workbook-up-to-date"/>
    <w:p>
      <w:pPr>
        <w:pStyle w:val="Heading3"/>
      </w:pPr>
      <w:r>
        <w:t xml:space="preserve">Bringing an older workbook up to date</w:t>
      </w:r>
    </w:p>
    <w:p>
      <w:pPr>
        <w:numPr>
          <w:ilvl w:val="0"/>
          <w:numId w:val="1016"/>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6"/>
        </w:numPr>
        <w:pStyle w:val="Compact"/>
      </w:pPr>
      <w:r>
        <w:t xml:space="preserve">Fill them in where you need them.</w:t>
      </w:r>
    </w:p>
    <w:p>
      <w:pPr>
        <w:numPr>
          <w:ilvl w:val="0"/>
          <w:numId w:val="1016"/>
        </w:numPr>
        <w:pStyle w:val="Compact"/>
      </w:pPr>
      <w:r>
        <w:t xml:space="preserve">Save it one of two ways:</w:t>
      </w:r>
    </w:p>
    <w:p>
      <w:pPr>
        <w:numPr>
          <w:ilvl w:val="1"/>
          <w:numId w:val="1017"/>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17"/>
        </w:numPr>
        <w:pStyle w:val="Compact"/>
      </w:pPr>
      <w:r>
        <w:rPr>
          <w:bCs/>
          <w:b/>
        </w:rPr>
        <w:t xml:space="preserve">New version in template format</w:t>
      </w:r>
      <w:r>
        <w:t xml:space="preserve">: the whole workbook rebuilt in the current template layout, every column and detail included.</w:t>
      </w:r>
    </w:p>
    <w:bookmarkEnd w:id="100"/>
    <w:bookmarkStart w:id="104" w:name="using-your-own-template"/>
    <w:p>
      <w:pPr>
        <w:pStyle w:val="Heading3"/>
      </w:pPr>
      <w:r>
        <w:t xml:space="preserve">Using your own template</w:t>
      </w:r>
    </w:p>
    <w:p>
      <w:pPr>
        <w:numPr>
          <w:ilvl w:val="0"/>
          <w:numId w:val="1018"/>
        </w:numPr>
        <w:pStyle w:val="Compact"/>
      </w:pPr>
      <w:r>
        <w:rPr>
          <w:bCs/>
          <w:b/>
        </w:rPr>
        <w:t xml:space="preserve">Check ▾ → Template → Download blank template</w:t>
      </w:r>
      <w:r>
        <w:t xml:space="preserve"> </w:t>
      </w:r>
      <w:r>
        <w:t xml:space="preserve">to start from the current one.</w:t>
      </w:r>
    </w:p>
    <w:p>
      <w:pPr>
        <w:numPr>
          <w:ilvl w:val="0"/>
          <w:numId w:val="1018"/>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8"/>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8"/>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2" name="Picture"/>
            <a:graphic>
              <a:graphicData uri="http://schemas.openxmlformats.org/drawingml/2006/picture">
                <pic:pic>
                  <pic:nvPicPr>
                    <pic:cNvPr descr="images/15-template.png" id="103" name="Picture"/>
                    <pic:cNvPicPr>
                      <a:picLocks noChangeArrowheads="1" noChangeAspect="1"/>
                    </pic:cNvPicPr>
                  </pic:nvPicPr>
                  <pic:blipFill>
                    <a:blip r:embed="rId101"/>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4"/>
    <w:bookmarkStart w:id="105"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5"/>
    <w:bookmarkEnd w:id="106"/>
    <w:bookmarkStart w:id="110" w:name="comparing-with-a-solution"/>
    <w:p>
      <w:pPr>
        <w:pStyle w:val="Heading2"/>
      </w:pPr>
      <w:r>
        <w:t xml:space="preserve">Comparing with a solution</w:t>
      </w:r>
    </w:p>
    <w:p>
      <w:pPr>
        <w:pStyle w:val="FirstParagraph"/>
      </w:pPr>
      <w:r>
        <w:t xml:space="preserve">Opened as a file, the page checks the workbook against a solution exported from Power Apps: its tables, fields (types, required levels, custom or standard), relationships with their cascade settings, N:N and alternate keys. Nothing is uploaded: the file is read in the browser. Inside Dynamics 365, the same panel picks a solution straight from the environment instead (Using it inside Dynamics 365).</w:t>
      </w:r>
    </w:p>
    <w:p>
      <w:pPr>
        <w:numPr>
          <w:ilvl w:val="0"/>
          <w:numId w:val="1019"/>
        </w:numPr>
        <w:pStyle w:val="Compact"/>
      </w:pPr>
      <w:r>
        <w:t xml:space="preserve">In Power Apps, open</w:t>
      </w:r>
      <w:r>
        <w:t xml:space="preserve"> </w:t>
      </w:r>
      <w:r>
        <w:rPr>
          <w:bCs/>
          <w:b/>
        </w:rPr>
        <w:t xml:space="preserve">Solutions</w:t>
      </w:r>
      <w:r>
        <w:t xml:space="preserve">, select the solution and choose</w:t>
      </w:r>
      <w:r>
        <w:t xml:space="preserve"> </w:t>
      </w:r>
      <w:r>
        <w:rPr>
          <w:bCs/>
          <w:b/>
        </w:rPr>
        <w:t xml:space="preserve">Export</w:t>
      </w:r>
      <w:r>
        <w:t xml:space="preserve"> </w:t>
      </w:r>
      <w:r>
        <w:t xml:space="preserve">(managed or unmanaged).</w:t>
      </w:r>
    </w:p>
    <w:p>
      <w:pPr>
        <w:numPr>
          <w:ilvl w:val="0"/>
          <w:numId w:val="1019"/>
        </w:numPr>
        <w:pStyle w:val="Compact"/>
      </w:pPr>
      <w:r>
        <w:t xml:space="preserve">Click</w:t>
      </w:r>
      <w:r>
        <w:t xml:space="preserve"> </w:t>
      </w:r>
      <w:r>
        <w:rPr>
          <w:bCs/>
          <w:b/>
        </w:rPr>
        <w:t xml:space="preserve">Compare with a solution…</w:t>
      </w:r>
      <w:r>
        <w:t xml:space="preserve"> </w:t>
      </w:r>
      <w:r>
        <w:t xml:space="preserve">on the Overview, or</w:t>
      </w:r>
      <w:r>
        <w:t xml:space="preserve"> </w:t>
      </w:r>
      <w:r>
        <w:rPr>
          <w:bCs/>
          <w:b/>
        </w:rPr>
        <w:t xml:space="preserve">Check ▾ → Compare with a solution…</w:t>
      </w:r>
      <w:r>
        <w:t xml:space="preserve">.</w:t>
      </w:r>
    </w:p>
    <w:p>
      <w:pPr>
        <w:numPr>
          <w:ilvl w:val="0"/>
          <w:numId w:val="1019"/>
        </w:numPr>
        <w:pStyle w:val="Compact"/>
      </w:pPr>
      <w:r>
        <w:t xml:space="preserve">Click</w:t>
      </w:r>
      <w:r>
        <w:t xml:space="preserve"> </w:t>
      </w:r>
      <w:r>
        <w:rPr>
          <w:bCs/>
          <w:b/>
        </w:rPr>
        <w:t xml:space="preserve">Add a solution (.zip)…</w:t>
      </w:r>
      <w:r>
        <w:t xml:space="preserve"> </w:t>
      </w:r>
      <w:r>
        <w:t xml:space="preserve">and pick the exported file, or drop it onto the page. Several can be added at once; a solution built with</w:t>
      </w:r>
      <w:r>
        <w:t xml:space="preserve"> </w:t>
      </w:r>
      <w:r>
        <w:rPr>
          <w:bCs/>
          <w:b/>
        </w:rPr>
        <w:t xml:space="preserve">Build solution</w:t>
      </w:r>
      <w:r>
        <w:t xml:space="preserve"> </w:t>
      </w:r>
      <w:r>
        <w:t xml:space="preserve">works too.</w:t>
      </w:r>
    </w:p>
    <w:p>
      <w:pPr>
        <w:numPr>
          <w:ilvl w:val="0"/>
          <w:numId w:val="1019"/>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the solution has.</w:t>
      </w:r>
    </w:p>
    <w:p>
      <w:pPr>
        <w:pStyle w:val="CaptionedFigure"/>
      </w:pPr>
      <w:r>
        <w:drawing>
          <wp:inline>
            <wp:extent cx="3264407" cy="3361853"/>
            <wp:effectExtent b="0" l="0" r="0" t="0"/>
            <wp:docPr descr="The Dataverse panel" title="" id="108" name="Picture"/>
            <a:graphic>
              <a:graphicData uri="http://schemas.openxmlformats.org/drawingml/2006/picture">
                <pic:pic>
                  <pic:nvPicPr>
                    <pic:cNvPr descr="images/16-dataverse.png" id="109" name="Picture"/>
                    <pic:cNvPicPr>
                      <a:picLocks noChangeArrowheads="1" noChangeAspect="1"/>
                    </pic:cNvPicPr>
                  </pic:nvPicPr>
                  <pic:blipFill>
                    <a:blip r:embed="rId107"/>
                    <a:stretch>
                      <a:fillRect/>
                    </a:stretch>
                  </pic:blipFill>
                  <pic:spPr bwMode="auto">
                    <a:xfrm>
                      <a:off x="0" y="0"/>
                      <a:ext cx="3264407" cy="3361853"/>
                    </a:xfrm>
                    <a:prstGeom prst="rect">
                      <a:avLst/>
                    </a:prstGeom>
                    <a:noFill/>
                    <a:ln w="9525">
                      <a:noFill/>
                      <a:headEnd/>
                      <a:tailEnd/>
                    </a:ln>
                  </pic:spPr>
                </pic:pic>
              </a:graphicData>
            </a:graphic>
          </wp:inline>
        </w:drawing>
      </w:r>
    </w:p>
    <w:p>
      <w:pPr>
        <w:pStyle w:val="ImageCaption"/>
      </w:pPr>
      <w:r>
        <w:t xml:space="preserve">The Dataverse panel</w:t>
      </w:r>
    </w:p>
    <w:p>
      <w:pPr>
        <w:pStyle w:val="BodyText"/>
      </w:pPr>
      <w:r>
        <w:rPr>
          <w:bCs/>
          <w:b/>
        </w:rPr>
        <w:t xml:space="preserve">1</w:t>
      </w:r>
      <w:r>
        <w:t xml:space="preserve"> </w:t>
      </w:r>
      <w:r>
        <w:t xml:space="preserve">Add a solution (.zip)… ·</w:t>
      </w:r>
      <w:r>
        <w:t xml:space="preserve"> </w:t>
      </w:r>
      <w:r>
        <w:rPr>
          <w:bCs/>
          <w:b/>
        </w:rPr>
        <w:t xml:space="preserve">2</w:t>
      </w:r>
      <w:r>
        <w:t xml:space="preserve"> </w:t>
      </w:r>
      <w:r>
        <w:t xml:space="preserve">How to export one from Power Apps</w:t>
      </w:r>
    </w:p>
    <w:p>
      <w:pPr>
        <w:pStyle w:val="BodyText"/>
      </w:pPr>
      <w:r>
        <w:t xml:space="preserve">Only your own tables are expected in the solution: a standard table such as Account that it doesn’t hold is not flagged. A table included in the solution as a shell (only the columns you added) is compared on those columns, so its other standard columns are not reported missing. The comparison is kept in the browser for this workbook;</w:t>
      </w:r>
      <w:r>
        <w:t xml:space="preserve"> </w:t>
      </w:r>
      <w:r>
        <w:rPr>
          <w:bCs/>
          <w:b/>
        </w:rPr>
        <w:t xml:space="preserve">Remove</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w:t>
            </w:r>
          </w:p>
        </w:tc>
        <w:tc>
          <w:tcPr/>
          <w:p>
            <w:pPr>
              <w:pStyle w:val="Compact"/>
              <w:jc w:val="left"/>
            </w:pPr>
            <w:r>
              <w:t xml:space="preserve">The workbook has it, the solution doesn’t (yet)</w:t>
            </w:r>
          </w:p>
        </w:tc>
      </w:tr>
      <w:tr>
        <w:tc>
          <w:tcPr/>
          <w:p>
            <w:pPr>
              <w:pStyle w:val="Compact"/>
              <w:jc w:val="left"/>
            </w:pPr>
            <w:r>
              <w:t xml:space="preserve">Attribute type or required level differs</w:t>
            </w:r>
          </w:p>
        </w:tc>
        <w:tc>
          <w:tcPr/>
          <w:p>
            <w:pPr>
              <w:pStyle w:val="Compact"/>
              <w:jc w:val="left"/>
            </w:pPr>
            <w:r>
              <w:t xml:space="preserve">Workbook and solution disagree</w:t>
            </w:r>
          </w:p>
        </w:tc>
      </w:tr>
      <w:tr>
        <w:tc>
          <w:tcPr/>
          <w:p>
            <w:pPr>
              <w:pStyle w:val="Compact"/>
              <w:jc w:val="left"/>
            </w:pPr>
            <w:r>
              <w:t xml:space="preserve">Dataverse relationship not documented; custom Dataverse field not documented; table in the solution but not documented</w:t>
            </w:r>
          </w:p>
        </w:tc>
        <w:tc>
          <w:tcPr/>
          <w:p>
            <w:pPr>
              <w:pStyle w:val="Compact"/>
              <w:jc w:val="left"/>
            </w:pPr>
            <w:r>
              <w:t xml:space="preserve">The solution has it, the workbook doesn’t</w:t>
            </w:r>
          </w:p>
        </w:tc>
      </w:tr>
      <w:tr>
        <w:tc>
          <w:tcPr/>
          <w:p>
            <w:pPr>
              <w:pStyle w:val="Compact"/>
              <w:jc w:val="left"/>
            </w:pPr>
            <w:r>
              <w:t xml:space="preserve">Table not in the Dataverse metadata</w:t>
            </w:r>
          </w:p>
        </w:tc>
        <w:tc>
          <w:tcPr/>
          <w:p>
            <w:pPr>
              <w:pStyle w:val="Compact"/>
              <w:jc w:val="left"/>
            </w:pPr>
            <w:r>
              <w:t xml:space="preserve">One of your tables is not in the solution</w:t>
            </w:r>
          </w:p>
        </w:tc>
      </w:tr>
    </w:tbl>
    <w:bookmarkEnd w:id="110"/>
    <w:bookmarkStart w:id="111" w:name="publishers-and-prefixes"/>
    <w:p>
      <w:pPr>
        <w:pStyle w:val="Heading2"/>
      </w:pPr>
      <w:r>
        <w:t xml:space="preserve">Publishers and prefixes</w:t>
      </w:r>
    </w:p>
    <w:p>
      <w:pPr>
        <w:pStyle w:val="FirstParagraph"/>
      </w:pPr>
      <w:r>
        <w:rPr>
          <w:bCs/>
          <w:b/>
        </w:rPr>
        <w:t xml:space="preserve">Check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20"/>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20"/>
        </w:numPr>
        <w:pStyle w:val="Compact"/>
      </w:pPr>
      <w:r>
        <w:rPr>
          <w:bCs/>
          <w:b/>
        </w:rPr>
        <w:t xml:space="preserve">＋ Add field</w:t>
      </w:r>
      <w:r>
        <w:t xml:space="preserve"> </w:t>
      </w:r>
      <w:r>
        <w:t xml:space="preserve">gives a new field the table’s own prefix, or your usual one.</w:t>
      </w:r>
    </w:p>
    <w:p>
      <w:pPr>
        <w:numPr>
          <w:ilvl w:val="0"/>
          <w:numId w:val="1020"/>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20"/>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20"/>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111"/>
    <w:bookmarkStart w:id="115"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1"/>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1"/>
        </w:numPr>
        <w:pStyle w:val="Compact"/>
      </w:pPr>
      <w:r>
        <w:t xml:space="preserve">Fill in the rest of the dialog. The prefix and choice value prefix are suggested from the workbook.</w:t>
      </w:r>
    </w:p>
    <w:p>
      <w:pPr>
        <w:numPr>
          <w:ilvl w:val="0"/>
          <w:numId w:val="1021"/>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1"/>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13" name="Picture"/>
            <a:graphic>
              <a:graphicData uri="http://schemas.openxmlformats.org/drawingml/2006/picture">
                <pic:pic>
                  <pic:nvPicPr>
                    <pic:cNvPr descr="images/17-solution.png" id="114" name="Picture"/>
                    <pic:cNvPicPr>
                      <a:picLocks noChangeArrowheads="1" noChangeAspect="1"/>
                    </pic:cNvPicPr>
                  </pic:nvPicPr>
                  <pic:blipFill>
                    <a:blip r:embed="rId112"/>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5"/>
    <w:bookmarkStart w:id="116"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2"/>
        </w:numPr>
      </w:pPr>
      <w:r>
        <w:t xml:space="preserve">Unzip the build into a folder.</w:t>
      </w:r>
    </w:p>
    <w:p>
      <w:pPr>
        <w:numPr>
          <w:ilvl w:val="0"/>
          <w:numId w:val="1022"/>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2"/>
        </w:numPr>
      </w:pPr>
      <w:r>
        <w:t xml:space="preserve">If the Power Platform CLI (</w:t>
      </w:r>
      <w:r>
        <w:rPr>
          <w:rStyle w:val="VerbatimChar"/>
        </w:rPr>
        <w:t xml:space="preserve">pac</w:t>
      </w:r>
      <w:r>
        <w:t xml:space="preserve">) is missing, the script installs it (with the .NET SDK, or winget on Windows).</w:t>
      </w:r>
    </w:p>
    <w:p>
      <w:pPr>
        <w:numPr>
          <w:ilvl w:val="0"/>
          <w:numId w:val="1022"/>
        </w:numPr>
      </w:pPr>
      <w:r>
        <w:t xml:space="preserve">A browser window opens: sign in.</w:t>
      </w:r>
    </w:p>
    <w:p>
      <w:pPr>
        <w:numPr>
          <w:ilvl w:val="0"/>
          <w:numId w:val="1022"/>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6"/>
    <w:bookmarkStart w:id="117" w:name="after-the-import"/>
    <w:p>
      <w:pPr>
        <w:pStyle w:val="Heading2"/>
      </w:pPr>
      <w:r>
        <w:t xml:space="preserve">After the import</w:t>
      </w:r>
    </w:p>
    <w:p>
      <w:pPr>
        <w:numPr>
          <w:ilvl w:val="0"/>
          <w:numId w:val="1023"/>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3"/>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3"/>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3"/>
        </w:numPr>
        <w:pStyle w:val="Compact"/>
      </w:pPr>
      <w:r>
        <w:t xml:space="preserve">Lay out forms and views.</w:t>
      </w:r>
    </w:p>
    <w:p>
      <w:pPr>
        <w:numPr>
          <w:ilvl w:val="0"/>
          <w:numId w:val="1023"/>
        </w:numPr>
        <w:pStyle w:val="Compact"/>
      </w:pPr>
      <w:r>
        <w:t xml:space="preserve">Optionally, compare the workbook with the environment (Comparing with a solution) to confirm everything landed.</w:t>
      </w:r>
    </w:p>
    <w:p>
      <w:pPr>
        <w:numPr>
          <w:ilvl w:val="0"/>
          <w:numId w:val="1023"/>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7"/>
    <w:bookmarkStart w:id="118"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another sheet’s formula points at it).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8"/>
    <w:bookmarkStart w:id="119"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4"/>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4"/>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4"/>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4"/>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4"/>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4"/>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6" Type="http://schemas.openxmlformats.org/officeDocument/2006/relationships/image" Target="media/rId96.png"/><Relationship Id="rId101" Type="http://schemas.openxmlformats.org/officeDocument/2006/relationships/image" Target="media/rId101.png"/><Relationship Id="rId107" Type="http://schemas.openxmlformats.org/officeDocument/2006/relationships/image" Target="media/rId107.png"/><Relationship Id="rId112" Type="http://schemas.openxmlformats.org/officeDocument/2006/relationships/image" Target="media/rId112.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2026-10-27T14:27:12Z</dcterms:created>
  <dcterms:modified xsi:type="dcterms:W3CDTF">2026-10-27T14:27:12Z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4.0.3 · 23 October 2026</vt:lpwstr>
  </property>
</Properties>
</file>