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1.9.3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bl>
    <w:p>
      <w:pPr>
        <w:pStyle w:val="BodyText"/>
      </w:pPr>
      <w:r>
        <w:t xml:space="preserve">This guide describes version 1.9.3. The latest file is in the SharePointPCF repository under</w:t>
      </w:r>
      <w:r>
        <w:t xml:space="preserve"> </w:t>
      </w:r>
      <w:r>
        <w:rPr>
          <w:rStyle w:val="VerbatimChar"/>
        </w:rPr>
        <w:t xml:space="preserve">data-model-explorer</w:t>
      </w:r>
      <w:r>
        <w:t xml:space="preserve">.</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1"/>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1"/>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1"/>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2"/>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2"/>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2"/>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w:t>
      </w:r>
    </w:p>
    <w:p>
      <w:pPr>
        <w:numPr>
          <w:ilvl w:val="0"/>
          <w:numId w:val="1003"/>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3"/>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3"/>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(left to right or top to bottom), and when relationship names show.</w:t>
      </w:r>
    </w:p>
    <w:p>
      <w:pPr>
        <w:numPr>
          <w:ilvl w:val="0"/>
          <w:numId w:val="1003"/>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3"/>
        </w:numPr>
        <w:pStyle w:val="Compact"/>
      </w:pPr>
      <w:r>
        <w:t xml:space="preserve">To leave out particular relationships, click the count next to a table (for example</w:t>
      </w:r>
      <w:r>
        <w:t xml:space="preserve"> </w:t>
      </w:r>
      <w:r>
        <w:rPr>
          <w:bCs/>
          <w:b/>
        </w:rPr>
        <w:t xml:space="preserve">3 rel ▾</w:t>
      </w:r>
      <w:r>
        <w:t xml:space="preserve">). It lists the table’s own lookups (→), the lookups to it from other tables (←) and its N:N relationships (↔). Untick any to hide them from the diagram and its exports;</w:t>
      </w:r>
      <w:r>
        <w:t xml:space="preserve"> </w:t>
      </w:r>
      <w:r>
        <w:rPr>
          <w:bCs/>
          <w:b/>
        </w:rPr>
        <w:t xml:space="preserve">Hide all</w:t>
      </w:r>
      <w:r>
        <w:t xml:space="preserve"> </w:t>
      </w:r>
      <w:r>
        <w:t xml:space="preserve">and</w:t>
      </w:r>
      <w:r>
        <w:t xml:space="preserve"> </w:t>
      </w:r>
      <w:r>
        <w:rPr>
          <w:bCs/>
          <w:b/>
        </w:rPr>
        <w:t xml:space="preserve">Show all</w:t>
      </w:r>
      <w:r>
        <w:t xml:space="preserve"> </w:t>
      </w:r>
      <w:r>
        <w:t xml:space="preserve">work for the whole table. The button then reads, for example,</w:t>
      </w:r>
      <w:r>
        <w:t xml:space="preserve"> </w:t>
      </w:r>
      <w:r>
        <w:rPr>
          <w:bCs/>
          <w:b/>
        </w:rPr>
        <w:t xml:space="preserve">1 of 3 hidden</w:t>
      </w:r>
      <w:r>
        <w:t xml:space="preserve">, and</w:t>
      </w:r>
      <w:r>
        <w:t xml:space="preserve"> </w:t>
      </w:r>
      <w:r>
        <w:rPr>
          <w:bCs/>
          <w:b/>
        </w:rPr>
        <w:t xml:space="preserve">show all</w:t>
      </w:r>
      <w:r>
        <w:t xml:space="preserve"> </w:t>
      </w:r>
      <w:r>
        <w:t xml:space="preserve">above the list brings every hidden relationship back. The tables stay where they are, and the choice is remembered in this browser.</w:t>
      </w:r>
    </w:p>
    <w:p>
      <w:pPr>
        <w:pStyle w:val="CaptionedFigure"/>
      </w:pPr>
      <w:r>
        <w:drawing>
          <wp:inline>
            <wp:extent cx="5334000" cy="3185583"/>
            <wp:effectExtent b="0" l="0" r="0" t="0"/>
            <wp:docPr descr="Hiding a table’s relationships" title="" id="42" name="Picture"/>
            <a:graphic>
              <a:graphicData uri="http://schemas.openxmlformats.org/drawingml/2006/picture">
                <pic:pic>
                  <pic:nvPicPr>
                    <pic:cNvPr descr="images/18-erd-hide.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a table’s relationships</w:t>
      </w:r>
    </w:p>
    <w:p>
      <w:pPr>
        <w:pStyle w:val="BodyText"/>
      </w:pPr>
      <w:r>
        <w:rPr>
          <w:bCs/>
          <w:b/>
        </w:rPr>
        <w:t xml:space="preserve">1</w:t>
      </w:r>
      <w:r>
        <w:t xml:space="preserve"> </w:t>
      </w:r>
      <w:r>
        <w:t xml:space="preserve">The table’s relationships ·</w:t>
      </w:r>
      <w:r>
        <w:t xml:space="preserve"> </w:t>
      </w:r>
      <w:r>
        <w:rPr>
          <w:bCs/>
          <w:b/>
        </w:rPr>
        <w:t xml:space="preserve">2</w:t>
      </w:r>
      <w:r>
        <w:t xml:space="preserve"> </w:t>
      </w:r>
      <w:r>
        <w:t xml:space="preserve">Untick to hide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A line shows its ends (one or many) only where the relationship type is recorded in the workbook.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With many tables, draw a few dozen at a time: a whole large model is slow to lay out and hard to read.</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4"/>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4"/>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4"/>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4"/>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4"/>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4"/>
        </w:numPr>
        <w:pStyle w:val="Compact"/>
      </w:pPr>
      <w:r>
        <w:rPr>
          <w:bCs/>
          <w:b/>
        </w:rPr>
        <w:t xml:space="preserve">Columns ▾</w:t>
      </w:r>
      <w:r>
        <w:t xml:space="preserve"> </w:t>
      </w:r>
      <w:r>
        <w:t xml:space="preserve">shows or hides columns. Schema Name, Type and Relationship Name are hidden by default.</w:t>
      </w:r>
    </w:p>
    <w:p>
      <w:pPr>
        <w:numPr>
          <w:ilvl w:val="0"/>
          <w:numId w:val="1004"/>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5"/>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5"/>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5"/>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5"/>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5"/>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5"/>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6"/>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6"/>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6"/>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6"/>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7"/>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7"/>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7"/>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7"/>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2807208" cy="3393060"/>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2807208" cy="3393060"/>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The file is then read back and every edit checked. If any edit can’t be written (for example there is no empty row left before the Forms section, or the sheet has an Excel table, a drawing, comments, or a formula on another sheet pointing at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If the original file has been moved, renamed or deleted since you opened it,</w:t>
      </w:r>
      <w:r>
        <w:t xml:space="preserve"> </w:t>
      </w:r>
      <w:r>
        <w:rPr>
          <w:bCs/>
          <w:b/>
        </w:rPr>
        <w:t xml:space="preserve">Save back to the original file</w:t>
      </w:r>
      <w:r>
        <w:t xml:space="preserve"> </w:t>
      </w:r>
      <w:r>
        <w:t xml:space="preserve">says so and offers</w:t>
      </w:r>
      <w:r>
        <w:t xml:space="preserve"> </w:t>
      </w:r>
      <w:r>
        <w:rPr>
          <w:bCs/>
          <w:b/>
        </w:rPr>
        <w:t xml:space="preserve">Save as…</w:t>
      </w:r>
      <w:r>
        <w:t xml:space="preserve">: pick a folder and a name, and the page saves there and links to that file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85"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78"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76" name="Picture"/>
            <a:graphic>
              <a:graphicData uri="http://schemas.openxmlformats.org/drawingml/2006/picture">
                <pic:pic>
                  <pic:nvPicPr>
                    <pic:cNvPr descr="images/14-more.png" id="77" name="Picture"/>
                    <pic:cNvPicPr>
                      <a:picLocks noChangeArrowheads="1" noChangeAspect="1"/>
                    </pic:cNvPicPr>
                  </pic:nvPicPr>
                  <pic:blipFill>
                    <a:blip r:embed="rId75"/>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78"/>
    <w:bookmarkStart w:id="79" w:name="bringing-an-older-workbook-up-to-date"/>
    <w:p>
      <w:pPr>
        <w:pStyle w:val="Heading3"/>
      </w:pPr>
      <w:r>
        <w:t xml:space="preserve">Bringing an older workbook up to date</w:t>
      </w:r>
    </w:p>
    <w:p>
      <w:pPr>
        <w:numPr>
          <w:ilvl w:val="0"/>
          <w:numId w:val="1008"/>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08"/>
        </w:numPr>
        <w:pStyle w:val="Compact"/>
      </w:pPr>
      <w:r>
        <w:t xml:space="preserve">Fill them in where you need them.</w:t>
      </w:r>
    </w:p>
    <w:p>
      <w:pPr>
        <w:numPr>
          <w:ilvl w:val="0"/>
          <w:numId w:val="1008"/>
        </w:numPr>
        <w:pStyle w:val="Compact"/>
      </w:pPr>
      <w:r>
        <w:t xml:space="preserve">Save it one of two ways:</w:t>
      </w:r>
    </w:p>
    <w:p>
      <w:pPr>
        <w:numPr>
          <w:ilvl w:val="1"/>
          <w:numId w:val="1009"/>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09"/>
        </w:numPr>
        <w:pStyle w:val="Compact"/>
      </w:pPr>
      <w:r>
        <w:rPr>
          <w:bCs/>
          <w:b/>
        </w:rPr>
        <w:t xml:space="preserve">New version in template format</w:t>
      </w:r>
      <w:r>
        <w:t xml:space="preserve">: the whole workbook rebuilt in the current template layout, every column and detail included.</w:t>
      </w:r>
    </w:p>
    <w:bookmarkEnd w:id="79"/>
    <w:bookmarkStart w:id="83" w:name="using-your-own-template"/>
    <w:p>
      <w:pPr>
        <w:pStyle w:val="Heading3"/>
      </w:pPr>
      <w:r>
        <w:t xml:space="preserve">Using your own template</w:t>
      </w:r>
    </w:p>
    <w:p>
      <w:pPr>
        <w:numPr>
          <w:ilvl w:val="0"/>
          <w:numId w:val="1010"/>
        </w:numPr>
        <w:pStyle w:val="Compact"/>
      </w:pPr>
      <w:r>
        <w:rPr>
          <w:bCs/>
          <w:b/>
        </w:rPr>
        <w:t xml:space="preserve">More ▾ → Template → Download blank template</w:t>
      </w:r>
      <w:r>
        <w:t xml:space="preserve"> </w:t>
      </w:r>
      <w:r>
        <w:t xml:space="preserve">to start from the current one.</w:t>
      </w:r>
    </w:p>
    <w:p>
      <w:pPr>
        <w:numPr>
          <w:ilvl w:val="0"/>
          <w:numId w:val="1010"/>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0"/>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0"/>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81" name="Picture"/>
            <a:graphic>
              <a:graphicData uri="http://schemas.openxmlformats.org/drawingml/2006/picture">
                <pic:pic>
                  <pic:nvPicPr>
                    <pic:cNvPr descr="images/15-template.png" id="82" name="Picture"/>
                    <pic:cNvPicPr>
                      <a:picLocks noChangeArrowheads="1" noChangeAspect="1"/>
                    </pic:cNvPicPr>
                  </pic:nvPicPr>
                  <pic:blipFill>
                    <a:blip r:embed="rId80"/>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3"/>
    <w:bookmarkStart w:id="84"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4"/>
    <w:bookmarkEnd w:id="85"/>
    <w:bookmarkStart w:id="89"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1"/>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1"/>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1"/>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1"/>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1"/>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87" name="Picture"/>
            <a:graphic>
              <a:graphicData uri="http://schemas.openxmlformats.org/drawingml/2006/picture">
                <pic:pic>
                  <pic:nvPicPr>
                    <pic:cNvPr descr="images/16-dataverse.png" id="88" name="Picture"/>
                    <pic:cNvPicPr>
                      <a:picLocks noChangeArrowheads="1" noChangeAspect="1"/>
                    </pic:cNvPicPr>
                  </pic:nvPicPr>
                  <pic:blipFill>
                    <a:blip r:embed="rId86"/>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89"/>
    <w:bookmarkStart w:id="90" w:name="publishers-and-prefixes"/>
    <w:p>
      <w:pPr>
        <w:pStyle w:val="Heading2"/>
      </w:pPr>
      <w:r>
        <w:t xml:space="preserve">Publishers and prefixes</w:t>
      </w:r>
    </w:p>
    <w:p>
      <w:pPr>
        <w:pStyle w:val="FirstParagraph"/>
      </w:pPr>
      <w:r>
        <w:rPr>
          <w:bCs/>
          <w:b/>
        </w:rPr>
        <w:t xml:space="preserve">More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12"/>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12"/>
        </w:numPr>
        <w:pStyle w:val="Compact"/>
      </w:pPr>
      <w:r>
        <w:rPr>
          <w:bCs/>
          <w:b/>
        </w:rPr>
        <w:t xml:space="preserve">＋ Add field</w:t>
      </w:r>
      <w:r>
        <w:t xml:space="preserve"> </w:t>
      </w:r>
      <w:r>
        <w:t xml:space="preserve">gives a new field the table’s own prefix, or your usual one.</w:t>
      </w:r>
    </w:p>
    <w:p>
      <w:pPr>
        <w:numPr>
          <w:ilvl w:val="0"/>
          <w:numId w:val="1012"/>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12"/>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12"/>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90"/>
    <w:bookmarkStart w:id="94"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3"/>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3"/>
        </w:numPr>
        <w:pStyle w:val="Compact"/>
      </w:pPr>
      <w:r>
        <w:t xml:space="preserve">Fill in the rest of the dialog. The prefix and choice value prefix are suggested from the workbook.</w:t>
      </w:r>
    </w:p>
    <w:p>
      <w:pPr>
        <w:numPr>
          <w:ilvl w:val="0"/>
          <w:numId w:val="1013"/>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3"/>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92" name="Picture"/>
            <a:graphic>
              <a:graphicData uri="http://schemas.openxmlformats.org/drawingml/2006/picture">
                <pic:pic>
                  <pic:nvPicPr>
                    <pic:cNvPr descr="images/17-solution.png" id="93" name="Picture"/>
                    <pic:cNvPicPr>
                      <a:picLocks noChangeArrowheads="1" noChangeAspect="1"/>
                    </pic:cNvPicPr>
                  </pic:nvPicPr>
                  <pic:blipFill>
                    <a:blip r:embed="rId91"/>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4"/>
    <w:bookmarkStart w:id="95"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4"/>
        </w:numPr>
      </w:pPr>
      <w:r>
        <w:t xml:space="preserve">Unzip the build into a folder.</w:t>
      </w:r>
    </w:p>
    <w:p>
      <w:pPr>
        <w:numPr>
          <w:ilvl w:val="0"/>
          <w:numId w:val="1014"/>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4"/>
        </w:numPr>
      </w:pPr>
      <w:r>
        <w:t xml:space="preserve">If the Power Platform CLI (</w:t>
      </w:r>
      <w:r>
        <w:rPr>
          <w:rStyle w:val="VerbatimChar"/>
        </w:rPr>
        <w:t xml:space="preserve">pac</w:t>
      </w:r>
      <w:r>
        <w:t xml:space="preserve">) is missing, the script installs it (with the .NET SDK, or winget on Windows).</w:t>
      </w:r>
    </w:p>
    <w:p>
      <w:pPr>
        <w:numPr>
          <w:ilvl w:val="0"/>
          <w:numId w:val="1014"/>
        </w:numPr>
      </w:pPr>
      <w:r>
        <w:t xml:space="preserve">A browser window opens: sign in.</w:t>
      </w:r>
    </w:p>
    <w:p>
      <w:pPr>
        <w:numPr>
          <w:ilvl w:val="0"/>
          <w:numId w:val="1014"/>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5"/>
    <w:bookmarkStart w:id="96" w:name="after-the-import"/>
    <w:p>
      <w:pPr>
        <w:pStyle w:val="Heading2"/>
      </w:pPr>
      <w:r>
        <w:t xml:space="preserve">After the import</w:t>
      </w:r>
    </w:p>
    <w:p>
      <w:pPr>
        <w:numPr>
          <w:ilvl w:val="0"/>
          <w:numId w:val="1015"/>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5"/>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5"/>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5"/>
        </w:numPr>
        <w:pStyle w:val="Compact"/>
      </w:pPr>
      <w:r>
        <w:t xml:space="preserve">Lay out forms and views.</w:t>
      </w:r>
    </w:p>
    <w:p>
      <w:pPr>
        <w:numPr>
          <w:ilvl w:val="0"/>
          <w:numId w:val="1015"/>
        </w:numPr>
        <w:pStyle w:val="Compact"/>
      </w:pPr>
      <w:r>
        <w:t xml:space="preserve">Optionally, compare the workbook with the environment (Comparing with Dataverse) to confirm everything landed.</w:t>
      </w:r>
    </w:p>
    <w:p>
      <w:pPr>
        <w:numPr>
          <w:ilvl w:val="0"/>
          <w:numId w:val="1015"/>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96"/>
    <w:bookmarkStart w:id="97"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another sheet’s formula points at it).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It holds only the empty template; your workbooks and edits stay in your browser</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97"/>
    <w:bookmarkStart w:id="98"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6"/>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6"/>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6"/>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6"/>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6"/>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6"/>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75" Type="http://schemas.openxmlformats.org/officeDocument/2006/relationships/image" Target="media/rId75.png"/><Relationship Id="rId80" Type="http://schemas.openxmlformats.org/officeDocument/2006/relationships/image" Target="media/rId80.png"/><Relationship Id="rId86" Type="http://schemas.openxmlformats.org/officeDocument/2006/relationships/image" Target="media/rId86.png"/><Relationship Id="rId91" Type="http://schemas.openxmlformats.org/officeDocument/2006/relationships/image" Target="media/rId91.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2026-10-27T14:45:11Z</dcterms:created>
  <dcterms:modified xsi:type="dcterms:W3CDTF">2026-10-27T14:45:11Z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1.9.3 · 23 October 2026</vt:lpwstr>
  </property>
</Properties>
</file>