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96" w:rsidRPr="005742F1" w:rsidRDefault="00D03996" w:rsidP="00AB3163">
      <w:pPr>
        <w:autoSpaceDE w:val="0"/>
        <w:autoSpaceDN w:val="0"/>
        <w:adjustRightInd w:val="0"/>
        <w:jc w:val="both"/>
        <w:rPr>
          <w:rFonts w:asciiTheme="minorHAnsi" w:eastAsia="Calibri" w:hAnsiTheme="minorHAnsi" w:cstheme="minorHAnsi"/>
          <w:sz w:val="20"/>
          <w:szCs w:val="20"/>
          <w:lang w:eastAsia="tr-TR"/>
        </w:rPr>
      </w:pPr>
    </w:p>
    <w:p w:rsidR="008E77DD" w:rsidRPr="005742F1" w:rsidRDefault="00C03AD2"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 xml:space="preserve">The product manager of Circuits Unlimited has asked for your assistance in analyzing a production process. This process involves drilling holes whose diameters are normally distributed with a population mean 2 inches and population standard deviation 0.06 inch. A random sample of 9 measurements had a sample mean of 1.95 inches. Use a significance level of α=0.05 to determine if the observed sample mean is unusual and suggests that the drilling machine should be adjusted. </w:t>
      </w:r>
      <w:r w:rsidR="000D61AC" w:rsidRPr="005742F1">
        <w:rPr>
          <w:rFonts w:asciiTheme="minorHAnsi" w:hAnsiTheme="minorHAnsi" w:cstheme="minorHAnsi"/>
          <w:sz w:val="20"/>
          <w:szCs w:val="20"/>
        </w:rPr>
        <w:t xml:space="preserve">(Source: Statistics for Business and Economics, 2007, 6th edition, Prentice Hall, by Paul Newbold, William </w:t>
      </w:r>
      <w:r>
        <w:rPr>
          <w:rFonts w:asciiTheme="minorHAnsi" w:hAnsiTheme="minorHAnsi" w:cstheme="minorHAnsi"/>
          <w:sz w:val="20"/>
          <w:szCs w:val="20"/>
        </w:rPr>
        <w:t>L. Carlson, Betty Thorne. pp.347</w:t>
      </w:r>
      <w:r w:rsidR="000D61AC" w:rsidRPr="005742F1">
        <w:rPr>
          <w:rFonts w:asciiTheme="minorHAnsi" w:hAnsiTheme="minorHAnsi" w:cstheme="minorHAnsi"/>
          <w:sz w:val="20"/>
          <w:szCs w:val="20"/>
        </w:rPr>
        <w:t>)</w:t>
      </w:r>
    </w:p>
    <w:p w:rsidR="000D61AC" w:rsidRPr="004C59FB" w:rsidRDefault="00A34F52"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hAnsiTheme="minorHAnsi" w:cstheme="minorHAnsi"/>
          <w:sz w:val="20"/>
          <w:szCs w:val="20"/>
        </w:rPr>
        <w:t>The average resistance of steel manila ropes is at most 750 kg in a big size company that produces these r</w:t>
      </w:r>
      <w:r w:rsidRPr="00A34F52">
        <w:rPr>
          <w:rFonts w:asciiTheme="minorHAnsi" w:hAnsiTheme="minorHAnsi" w:cstheme="minorHAnsi"/>
          <w:sz w:val="20"/>
          <w:szCs w:val="20"/>
        </w:rPr>
        <w:t>opes. </w:t>
      </w:r>
      <w:r>
        <w:rPr>
          <w:rFonts w:asciiTheme="minorHAnsi" w:hAnsiTheme="minorHAnsi" w:cstheme="minorHAnsi"/>
          <w:sz w:val="20"/>
          <w:szCs w:val="20"/>
        </w:rPr>
        <w:t xml:space="preserve">A researcher claims that a new </w:t>
      </w:r>
      <w:r w:rsidRPr="00A34F52">
        <w:rPr>
          <w:rFonts w:asciiTheme="minorHAnsi" w:hAnsiTheme="minorHAnsi" w:cstheme="minorHAnsi"/>
          <w:sz w:val="20"/>
          <w:szCs w:val="20"/>
        </w:rPr>
        <w:t>production process </w:t>
      </w:r>
      <w:r w:rsidR="003C6D31">
        <w:rPr>
          <w:rFonts w:asciiTheme="minorHAnsi" w:hAnsiTheme="minorHAnsi" w:cstheme="minorHAnsi"/>
          <w:sz w:val="20"/>
          <w:szCs w:val="20"/>
        </w:rPr>
        <w:t xml:space="preserve">has a positive impact on the resistance of </w:t>
      </w:r>
      <w:r w:rsidRPr="00A34F52">
        <w:rPr>
          <w:rFonts w:asciiTheme="minorHAnsi" w:hAnsiTheme="minorHAnsi" w:cstheme="minorHAnsi"/>
          <w:sz w:val="20"/>
          <w:szCs w:val="20"/>
        </w:rPr>
        <w:t>the ropes</w:t>
      </w:r>
      <w:r w:rsidR="003C6D31">
        <w:rPr>
          <w:rFonts w:asciiTheme="minorHAnsi" w:hAnsiTheme="minorHAnsi" w:cstheme="minorHAnsi"/>
          <w:sz w:val="20"/>
          <w:szCs w:val="20"/>
        </w:rPr>
        <w:t>. In order to test if the researcher’s claim is valid a random sample of 64 ropes is chosen and their resistance levels are observed. Would you agree that the new production process had a positive impact on the resistance of the ropes at</w:t>
      </w:r>
      <w:r w:rsidRPr="00A34F52">
        <w:rPr>
          <w:rFonts w:asciiTheme="minorHAnsi" w:hAnsiTheme="minorHAnsi" w:cstheme="minorHAnsi"/>
          <w:sz w:val="20"/>
          <w:szCs w:val="20"/>
        </w:rPr>
        <w:t xml:space="preserve"> a significance level of 5%</w:t>
      </w:r>
      <w:r w:rsidR="003C6D31">
        <w:rPr>
          <w:rFonts w:asciiTheme="minorHAnsi" w:hAnsiTheme="minorHAnsi" w:cstheme="minorHAnsi"/>
          <w:sz w:val="20"/>
          <w:szCs w:val="20"/>
        </w:rPr>
        <w:t>?</w:t>
      </w:r>
    </w:p>
    <w:tbl>
      <w:tblPr>
        <w:tblW w:w="0" w:type="auto"/>
        <w:jc w:val="center"/>
        <w:tblLook w:val="01E0" w:firstRow="1" w:lastRow="1" w:firstColumn="1" w:lastColumn="1" w:noHBand="0" w:noVBand="0"/>
      </w:tblPr>
      <w:tblGrid>
        <w:gridCol w:w="1503"/>
        <w:gridCol w:w="1503"/>
      </w:tblGrid>
      <w:tr w:rsidR="004C59FB" w:rsidRPr="000F6B7A" w:rsidTr="0066113D">
        <w:trPr>
          <w:jc w:val="center"/>
        </w:trPr>
        <w:tc>
          <w:tcPr>
            <w:tcW w:w="1503" w:type="dxa"/>
            <w:tcBorders>
              <w:top w:val="single" w:sz="4" w:space="0" w:color="auto"/>
              <w:bottom w:val="single" w:sz="4" w:space="0" w:color="auto"/>
            </w:tcBorders>
          </w:tcPr>
          <w:p w:rsidR="004C59FB" w:rsidRPr="000F6B7A" w:rsidRDefault="004C59FB" w:rsidP="0066113D">
            <w:pPr>
              <w:spacing w:before="60"/>
              <w:jc w:val="center"/>
              <w:rPr>
                <w:rFonts w:ascii="Calibri" w:hAnsi="Calibri"/>
                <w:sz w:val="20"/>
                <w:szCs w:val="20"/>
              </w:rPr>
            </w:pPr>
            <w:r>
              <w:rPr>
                <w:rFonts w:ascii="Calibri" w:hAnsi="Calibri"/>
                <w:sz w:val="20"/>
                <w:szCs w:val="20"/>
              </w:rPr>
              <w:t>Resistance</w:t>
            </w:r>
            <w:r w:rsidRPr="000F6B7A">
              <w:rPr>
                <w:rFonts w:ascii="Calibri" w:hAnsi="Calibri"/>
                <w:sz w:val="20"/>
                <w:szCs w:val="20"/>
              </w:rPr>
              <w:t xml:space="preserve"> (Kg)</w:t>
            </w:r>
          </w:p>
        </w:tc>
        <w:tc>
          <w:tcPr>
            <w:tcW w:w="1503" w:type="dxa"/>
            <w:tcBorders>
              <w:top w:val="single" w:sz="4" w:space="0" w:color="auto"/>
              <w:bottom w:val="single" w:sz="4" w:space="0" w:color="auto"/>
            </w:tcBorders>
          </w:tcPr>
          <w:p w:rsidR="004C59FB" w:rsidRPr="000F6B7A" w:rsidRDefault="004C59FB" w:rsidP="0066113D">
            <w:pPr>
              <w:spacing w:before="60"/>
              <w:jc w:val="center"/>
              <w:rPr>
                <w:rFonts w:ascii="Calibri" w:hAnsi="Calibri"/>
                <w:sz w:val="20"/>
                <w:szCs w:val="20"/>
              </w:rPr>
            </w:pPr>
            <w:r>
              <w:rPr>
                <w:rFonts w:ascii="Calibri" w:hAnsi="Calibri"/>
                <w:sz w:val="20"/>
                <w:szCs w:val="20"/>
              </w:rPr>
              <w:t>Number of manila</w:t>
            </w:r>
          </w:p>
        </w:tc>
      </w:tr>
      <w:tr w:rsidR="004C59FB" w:rsidRPr="000F6B7A" w:rsidTr="0066113D">
        <w:trPr>
          <w:jc w:val="center"/>
        </w:trPr>
        <w:tc>
          <w:tcPr>
            <w:tcW w:w="1503" w:type="dxa"/>
            <w:tcBorders>
              <w:top w:val="single" w:sz="4" w:space="0" w:color="auto"/>
            </w:tcBorders>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745</w:t>
            </w:r>
          </w:p>
        </w:tc>
        <w:tc>
          <w:tcPr>
            <w:tcW w:w="1503" w:type="dxa"/>
            <w:tcBorders>
              <w:top w:val="single" w:sz="4" w:space="0" w:color="auto"/>
            </w:tcBorders>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10</w:t>
            </w:r>
          </w:p>
        </w:tc>
      </w:tr>
      <w:tr w:rsidR="004C59FB" w:rsidRPr="000F6B7A" w:rsidTr="0066113D">
        <w:trPr>
          <w:jc w:val="center"/>
        </w:trPr>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750</w:t>
            </w:r>
          </w:p>
        </w:tc>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12</w:t>
            </w:r>
          </w:p>
        </w:tc>
      </w:tr>
      <w:tr w:rsidR="004C59FB" w:rsidRPr="000F6B7A" w:rsidTr="0066113D">
        <w:trPr>
          <w:jc w:val="center"/>
        </w:trPr>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755</w:t>
            </w:r>
          </w:p>
        </w:tc>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19</w:t>
            </w:r>
          </w:p>
        </w:tc>
      </w:tr>
      <w:tr w:rsidR="004C59FB" w:rsidRPr="000F6B7A" w:rsidTr="0066113D">
        <w:trPr>
          <w:jc w:val="center"/>
        </w:trPr>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760</w:t>
            </w:r>
          </w:p>
        </w:tc>
        <w:tc>
          <w:tcPr>
            <w:tcW w:w="1503" w:type="dxa"/>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14</w:t>
            </w:r>
          </w:p>
        </w:tc>
      </w:tr>
      <w:tr w:rsidR="004C59FB" w:rsidRPr="000F6B7A" w:rsidTr="0066113D">
        <w:trPr>
          <w:jc w:val="center"/>
        </w:trPr>
        <w:tc>
          <w:tcPr>
            <w:tcW w:w="1503" w:type="dxa"/>
            <w:tcBorders>
              <w:bottom w:val="single" w:sz="4" w:space="0" w:color="auto"/>
            </w:tcBorders>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765</w:t>
            </w:r>
          </w:p>
        </w:tc>
        <w:tc>
          <w:tcPr>
            <w:tcW w:w="1503" w:type="dxa"/>
            <w:tcBorders>
              <w:bottom w:val="single" w:sz="4" w:space="0" w:color="auto"/>
            </w:tcBorders>
          </w:tcPr>
          <w:p w:rsidR="004C59FB" w:rsidRPr="000F6B7A" w:rsidRDefault="004C59FB" w:rsidP="0066113D">
            <w:pPr>
              <w:spacing w:before="60"/>
              <w:jc w:val="center"/>
              <w:rPr>
                <w:rFonts w:ascii="Calibri" w:hAnsi="Calibri"/>
                <w:sz w:val="20"/>
                <w:szCs w:val="20"/>
              </w:rPr>
            </w:pPr>
            <w:r w:rsidRPr="000F6B7A">
              <w:rPr>
                <w:rFonts w:ascii="Calibri" w:hAnsi="Calibri"/>
                <w:sz w:val="20"/>
                <w:szCs w:val="20"/>
              </w:rPr>
              <w:t>9</w:t>
            </w:r>
          </w:p>
        </w:tc>
      </w:tr>
    </w:tbl>
    <w:p w:rsidR="004C59FB" w:rsidRPr="005742F1" w:rsidRDefault="004C59FB" w:rsidP="004C59FB">
      <w:pPr>
        <w:autoSpaceDE w:val="0"/>
        <w:autoSpaceDN w:val="0"/>
        <w:adjustRightInd w:val="0"/>
        <w:ind w:left="720"/>
        <w:jc w:val="both"/>
        <w:rPr>
          <w:rFonts w:asciiTheme="minorHAnsi" w:eastAsia="Calibri" w:hAnsiTheme="minorHAnsi" w:cstheme="minorHAnsi"/>
          <w:sz w:val="20"/>
          <w:szCs w:val="20"/>
          <w:lang w:eastAsia="tr-TR"/>
        </w:rPr>
      </w:pPr>
    </w:p>
    <w:p w:rsidR="003C6D31" w:rsidRDefault="003C6D31"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 xml:space="preserve">A company has chosen 60 sales representatives randomly in order to test if the company’s new policy of sales premium had a positive impact on the average number of monthly sales </w:t>
      </w:r>
      <w:r w:rsidR="000125BE">
        <w:rPr>
          <w:rFonts w:asciiTheme="minorHAnsi" w:eastAsia="Calibri" w:hAnsiTheme="minorHAnsi" w:cstheme="minorHAnsi"/>
          <w:sz w:val="20"/>
          <w:szCs w:val="20"/>
          <w:lang w:eastAsia="tr-TR"/>
        </w:rPr>
        <w:t xml:space="preserve">of 2.27 billion $ </w:t>
      </w:r>
      <w:r>
        <w:rPr>
          <w:rFonts w:asciiTheme="minorHAnsi" w:eastAsia="Calibri" w:hAnsiTheme="minorHAnsi" w:cstheme="minorHAnsi"/>
          <w:sz w:val="20"/>
          <w:szCs w:val="20"/>
          <w:lang w:eastAsia="tr-TR"/>
        </w:rPr>
        <w:t>of the sales representatives. The following table gives the number of monthly sales of the sample. Would you agree that the new policy of sales premium had a positive impact with a significance level of α=0.05?</w:t>
      </w:r>
    </w:p>
    <w:tbl>
      <w:tblPr>
        <w:tblW w:w="2284" w:type="dxa"/>
        <w:jc w:val="center"/>
        <w:tblCellMar>
          <w:left w:w="70" w:type="dxa"/>
          <w:right w:w="70" w:type="dxa"/>
        </w:tblCellMar>
        <w:tblLook w:val="0000" w:firstRow="0" w:lastRow="0" w:firstColumn="0" w:lastColumn="0" w:noHBand="0" w:noVBand="0"/>
      </w:tblPr>
      <w:tblGrid>
        <w:gridCol w:w="960"/>
        <w:gridCol w:w="1324"/>
      </w:tblGrid>
      <w:tr w:rsidR="003C6D31" w:rsidRPr="00754F02" w:rsidTr="00D211EA">
        <w:trPr>
          <w:trHeight w:val="255"/>
          <w:jc w:val="center"/>
        </w:trPr>
        <w:tc>
          <w:tcPr>
            <w:tcW w:w="960" w:type="dxa"/>
            <w:tcBorders>
              <w:top w:val="single" w:sz="4" w:space="0" w:color="auto"/>
              <w:bottom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Pr>
                <w:rFonts w:ascii="Calibri" w:hAnsi="Calibri"/>
                <w:sz w:val="20"/>
                <w:szCs w:val="20"/>
              </w:rPr>
              <w:t>Monthly Sales</w:t>
            </w:r>
            <w:r w:rsidR="004604B0">
              <w:rPr>
                <w:rFonts w:ascii="Calibri" w:hAnsi="Calibri"/>
                <w:sz w:val="20"/>
                <w:szCs w:val="20"/>
              </w:rPr>
              <w:t xml:space="preserve"> (billion $)</w:t>
            </w:r>
            <w:bookmarkStart w:id="0" w:name="_GoBack"/>
            <w:bookmarkEnd w:id="0"/>
          </w:p>
        </w:tc>
        <w:tc>
          <w:tcPr>
            <w:tcW w:w="1324" w:type="dxa"/>
            <w:tcBorders>
              <w:top w:val="single" w:sz="4" w:space="0" w:color="auto"/>
              <w:bottom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Pr>
                <w:rFonts w:ascii="Calibri" w:hAnsi="Calibri"/>
                <w:sz w:val="20"/>
                <w:szCs w:val="20"/>
              </w:rPr>
              <w:t>Number of Sales Reprs.</w:t>
            </w:r>
          </w:p>
        </w:tc>
      </w:tr>
      <w:tr w:rsidR="003C6D31" w:rsidRPr="00754F02" w:rsidTr="00D211EA">
        <w:trPr>
          <w:trHeight w:val="255"/>
          <w:jc w:val="center"/>
        </w:trPr>
        <w:tc>
          <w:tcPr>
            <w:tcW w:w="960" w:type="dxa"/>
            <w:tcBorders>
              <w:top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2.80</w:t>
            </w:r>
          </w:p>
        </w:tc>
        <w:tc>
          <w:tcPr>
            <w:tcW w:w="1324" w:type="dxa"/>
            <w:tcBorders>
              <w:top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10</w:t>
            </w:r>
          </w:p>
        </w:tc>
      </w:tr>
      <w:tr w:rsidR="003C6D31" w:rsidRPr="00754F02" w:rsidTr="00D211EA">
        <w:trPr>
          <w:trHeight w:val="255"/>
          <w:jc w:val="center"/>
        </w:trPr>
        <w:tc>
          <w:tcPr>
            <w:tcW w:w="960"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2.64</w:t>
            </w:r>
          </w:p>
        </w:tc>
        <w:tc>
          <w:tcPr>
            <w:tcW w:w="1324"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15</w:t>
            </w:r>
          </w:p>
        </w:tc>
      </w:tr>
      <w:tr w:rsidR="003C6D31" w:rsidRPr="00754F02" w:rsidTr="00D211EA">
        <w:trPr>
          <w:trHeight w:val="255"/>
          <w:jc w:val="center"/>
        </w:trPr>
        <w:tc>
          <w:tcPr>
            <w:tcW w:w="960"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2.60</w:t>
            </w:r>
          </w:p>
        </w:tc>
        <w:tc>
          <w:tcPr>
            <w:tcW w:w="1324"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12</w:t>
            </w:r>
          </w:p>
        </w:tc>
      </w:tr>
      <w:tr w:rsidR="003C6D31" w:rsidRPr="00754F02" w:rsidTr="00D211EA">
        <w:trPr>
          <w:trHeight w:val="255"/>
          <w:jc w:val="center"/>
        </w:trPr>
        <w:tc>
          <w:tcPr>
            <w:tcW w:w="960"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2.70</w:t>
            </w:r>
          </w:p>
        </w:tc>
        <w:tc>
          <w:tcPr>
            <w:tcW w:w="1324" w:type="dxa"/>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13</w:t>
            </w:r>
          </w:p>
        </w:tc>
      </w:tr>
      <w:tr w:rsidR="003C6D31" w:rsidRPr="00754F02" w:rsidTr="00D211EA">
        <w:trPr>
          <w:trHeight w:val="255"/>
          <w:jc w:val="center"/>
        </w:trPr>
        <w:tc>
          <w:tcPr>
            <w:tcW w:w="960" w:type="dxa"/>
            <w:tcBorders>
              <w:bottom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2.50</w:t>
            </w:r>
          </w:p>
        </w:tc>
        <w:tc>
          <w:tcPr>
            <w:tcW w:w="1324" w:type="dxa"/>
            <w:tcBorders>
              <w:bottom w:val="single" w:sz="4" w:space="0" w:color="auto"/>
            </w:tcBorders>
            <w:shd w:val="clear" w:color="auto" w:fill="auto"/>
            <w:noWrap/>
            <w:vAlign w:val="bottom"/>
          </w:tcPr>
          <w:p w:rsidR="003C6D31" w:rsidRPr="00754F02" w:rsidRDefault="003C6D31" w:rsidP="00D211EA">
            <w:pPr>
              <w:spacing w:before="60"/>
              <w:jc w:val="center"/>
              <w:rPr>
                <w:rFonts w:ascii="Calibri" w:hAnsi="Calibri"/>
                <w:sz w:val="20"/>
                <w:szCs w:val="20"/>
              </w:rPr>
            </w:pPr>
            <w:r w:rsidRPr="00754F02">
              <w:rPr>
                <w:rFonts w:ascii="Calibri" w:hAnsi="Calibri"/>
                <w:sz w:val="20"/>
                <w:szCs w:val="20"/>
              </w:rPr>
              <w:t>10</w:t>
            </w:r>
          </w:p>
        </w:tc>
      </w:tr>
    </w:tbl>
    <w:p w:rsidR="003C6D31" w:rsidRDefault="003C6D31" w:rsidP="003C6D31">
      <w:pPr>
        <w:autoSpaceDE w:val="0"/>
        <w:autoSpaceDN w:val="0"/>
        <w:adjustRightInd w:val="0"/>
        <w:ind w:left="720"/>
        <w:jc w:val="both"/>
        <w:rPr>
          <w:rFonts w:asciiTheme="minorHAnsi" w:eastAsia="Calibri" w:hAnsiTheme="minorHAnsi" w:cstheme="minorHAnsi"/>
          <w:sz w:val="20"/>
          <w:szCs w:val="20"/>
          <w:lang w:eastAsia="tr-TR"/>
        </w:rPr>
      </w:pPr>
    </w:p>
    <w:p w:rsidR="00A17D4F" w:rsidRDefault="00A17D4F"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A company sells a product in packs of 500gr. In order to examine if the packaging process is under control, a random sample of 25 packs are chosen and the sample mean is found to be 504 gr, and the sample standard deviation is found to be 12 gr. Is the packaging process under control with a significance level of α=0.05?</w:t>
      </w:r>
    </w:p>
    <w:p w:rsidR="000D61AC" w:rsidRPr="005742F1" w:rsidRDefault="00A17D4F"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 xml:space="preserve">A </w:t>
      </w:r>
      <w:r w:rsidR="005E0AE6">
        <w:rPr>
          <w:rFonts w:asciiTheme="minorHAnsi" w:eastAsia="Calibri" w:hAnsiTheme="minorHAnsi" w:cstheme="minorHAnsi"/>
          <w:sz w:val="20"/>
          <w:szCs w:val="20"/>
          <w:lang w:eastAsia="tr-TR"/>
        </w:rPr>
        <w:t xml:space="preserve">process produces </w:t>
      </w:r>
      <w:r>
        <w:rPr>
          <w:rFonts w:asciiTheme="minorHAnsi" w:eastAsia="Calibri" w:hAnsiTheme="minorHAnsi" w:cstheme="minorHAnsi"/>
          <w:sz w:val="20"/>
          <w:szCs w:val="20"/>
          <w:lang w:eastAsia="tr-TR"/>
        </w:rPr>
        <w:t xml:space="preserve">packs of 100gr. A random sample of 16 packs is chosen from the packaging process and it is found that the sample mean is 95 gr and that the sample standard deviation is 10 gr. Assuming a normal distribution, would you be able to say that the packaging machine is under-filling the packs with a significance level of α=0.05? </w:t>
      </w:r>
    </w:p>
    <w:p w:rsidR="00691ED6" w:rsidRDefault="005701A9"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A company selling licences for new e-commerce computer software advertises that firms</w:t>
      </w:r>
      <w:r w:rsidR="00DC57A7">
        <w:rPr>
          <w:rFonts w:asciiTheme="minorHAnsi" w:eastAsia="Calibri" w:hAnsiTheme="minorHAnsi" w:cstheme="minorHAnsi"/>
          <w:sz w:val="20"/>
          <w:szCs w:val="20"/>
          <w:lang w:eastAsia="tr-TR"/>
        </w:rPr>
        <w:t xml:space="preserve"> using this software obtain, on average during the first year, a yield of 10% on their initial investments. A random sample of 10 of these franchises produced the following yields for the first year of operation:</w:t>
      </w:r>
    </w:p>
    <w:p w:rsidR="00DC57A7" w:rsidRDefault="00DC57A7" w:rsidP="00DC57A7">
      <w:pPr>
        <w:autoSpaceDE w:val="0"/>
        <w:autoSpaceDN w:val="0"/>
        <w:adjustRightInd w:val="0"/>
        <w:ind w:left="72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6.1   9.2   11.5   8.6   12.1   3.9   8.4   10.1   9.4   8.9</w:t>
      </w:r>
    </w:p>
    <w:p w:rsidR="00DC57A7" w:rsidRDefault="00DC57A7" w:rsidP="00DC57A7">
      <w:pPr>
        <w:autoSpaceDE w:val="0"/>
        <w:autoSpaceDN w:val="0"/>
        <w:adjustRightInd w:val="0"/>
        <w:ind w:left="72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Assuming that population yields are normally distributed, test the company’s claim with a significance level of α=0.05.</w:t>
      </w:r>
      <w:r w:rsidR="00B53106">
        <w:rPr>
          <w:rFonts w:asciiTheme="minorHAnsi" w:eastAsia="Calibri" w:hAnsiTheme="minorHAnsi" w:cstheme="minorHAnsi"/>
          <w:sz w:val="20"/>
          <w:szCs w:val="20"/>
          <w:lang w:eastAsia="tr-TR"/>
        </w:rPr>
        <w:t xml:space="preserve"> (pp.352)</w:t>
      </w:r>
    </w:p>
    <w:p w:rsidR="00DC57A7" w:rsidRDefault="00DD2D17"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Pr>
          <w:rFonts w:asciiTheme="minorHAnsi" w:eastAsia="Calibri" w:hAnsiTheme="minorHAnsi" w:cstheme="minorHAnsi"/>
          <w:sz w:val="20"/>
          <w:szCs w:val="20"/>
          <w:lang w:eastAsia="tr-TR"/>
        </w:rPr>
        <w:t>A beer distributer claims that a new display, featuring a life-size picture of a well-known rock singer, will increase product sales in supermarkets by an average of 50 cases in a week. For a random sample of 20 high-volume liquor outlets, the average sales increase was 41.3 cases, and the sample standard deviation was 12.2 cases. Test at the 5% level the null hypothesis that the population mean sales increase is at least 50 cases, stating any assumptions you make.</w:t>
      </w:r>
      <w:r w:rsidR="00B53106">
        <w:rPr>
          <w:rFonts w:asciiTheme="minorHAnsi" w:eastAsia="Calibri" w:hAnsiTheme="minorHAnsi" w:cstheme="minorHAnsi"/>
          <w:sz w:val="20"/>
          <w:szCs w:val="20"/>
          <w:lang w:eastAsia="tr-TR"/>
        </w:rPr>
        <w:t xml:space="preserve"> (pp.352)</w:t>
      </w:r>
    </w:p>
    <w:p w:rsidR="008F1D14" w:rsidRPr="005742F1" w:rsidRDefault="008F1D14" w:rsidP="00361589">
      <w:pPr>
        <w:autoSpaceDE w:val="0"/>
        <w:autoSpaceDN w:val="0"/>
        <w:adjustRightInd w:val="0"/>
        <w:ind w:left="720"/>
        <w:jc w:val="both"/>
        <w:rPr>
          <w:rFonts w:asciiTheme="minorHAnsi" w:eastAsia="Calibri" w:hAnsiTheme="minorHAnsi" w:cstheme="minorHAnsi"/>
          <w:sz w:val="20"/>
          <w:szCs w:val="20"/>
          <w:lang w:eastAsia="tr-TR"/>
        </w:rPr>
      </w:pPr>
    </w:p>
    <w:sectPr w:rsidR="008F1D14" w:rsidRPr="005742F1" w:rsidSect="00B21817">
      <w:headerReference w:type="default" r:id="rId9"/>
      <w:pgSz w:w="11906" w:h="16838"/>
      <w:pgMar w:top="851" w:right="707"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969" w:rsidRDefault="00AA4969" w:rsidP="004A51BE">
      <w:r>
        <w:separator/>
      </w:r>
    </w:p>
  </w:endnote>
  <w:endnote w:type="continuationSeparator" w:id="0">
    <w:p w:rsidR="00AA4969" w:rsidRDefault="00AA4969" w:rsidP="004A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969" w:rsidRDefault="00AA4969" w:rsidP="004A51BE">
      <w:r>
        <w:separator/>
      </w:r>
    </w:p>
  </w:footnote>
  <w:footnote w:type="continuationSeparator" w:id="0">
    <w:p w:rsidR="00AA4969" w:rsidRDefault="00AA4969" w:rsidP="004A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1BE" w:rsidRPr="004A51BE" w:rsidRDefault="004A51BE">
    <w:pPr>
      <w:pStyle w:val="Header"/>
      <w:rPr>
        <w:rFonts w:ascii="Calibri" w:hAnsi="Calibri"/>
      </w:rPr>
    </w:pPr>
    <w:r w:rsidRPr="004A51BE">
      <w:rPr>
        <w:rFonts w:ascii="Calibri" w:hAnsi="Calibri"/>
      </w:rPr>
      <w:t>Doç.Dr.Çiğdem Arıcıgil Çilan 201</w:t>
    </w:r>
    <w:r w:rsidR="00A74A3C">
      <w:rPr>
        <w:rFonts w:ascii="Calibri" w:hAnsi="Calibri"/>
      </w:rPr>
      <w:t>1</w:t>
    </w:r>
    <w:r w:rsidRPr="004A51BE">
      <w:rPr>
        <w:rFonts w:ascii="Calibri" w:hAnsi="Calibri"/>
      </w:rPr>
      <w:t>-201</w:t>
    </w:r>
    <w:r w:rsidR="00A74A3C">
      <w:rPr>
        <w:rFonts w:ascii="Calibri" w:hAnsi="Calibri"/>
      </w:rPr>
      <w:t>2</w:t>
    </w:r>
    <w:r w:rsidRPr="004A51BE">
      <w:rPr>
        <w:rFonts w:ascii="Calibri" w:hAnsi="Calibri"/>
      </w:rPr>
      <w:t xml:space="preserve"> </w:t>
    </w:r>
    <w:r w:rsidR="00A74A3C">
      <w:rPr>
        <w:rFonts w:ascii="Calibri" w:hAnsi="Calibri"/>
      </w:rPr>
      <w:t>Spring Semester Statistical Analysis</w:t>
    </w:r>
    <w:r w:rsidRPr="004A51BE">
      <w:rPr>
        <w:rFonts w:ascii="Calibri" w:hAnsi="Calibri"/>
      </w:rPr>
      <w:t xml:space="preserve"> </w:t>
    </w:r>
    <w:r w:rsidR="00A74A3C">
      <w:rPr>
        <w:rFonts w:ascii="Calibri" w:hAnsi="Calibri"/>
      </w:rPr>
      <w:t>–</w:t>
    </w:r>
    <w:r>
      <w:rPr>
        <w:rFonts w:ascii="Calibri" w:hAnsi="Calibri"/>
      </w:rPr>
      <w:t xml:space="preserve"> </w:t>
    </w:r>
    <w:r w:rsidR="00C03AD2">
      <w:rPr>
        <w:rFonts w:ascii="Calibri" w:hAnsi="Calibri"/>
      </w:rPr>
      <w:t>5</w:t>
    </w:r>
    <w:r w:rsidR="008E77DD">
      <w:rPr>
        <w:rFonts w:ascii="Calibri" w:hAnsi="Calibri"/>
      </w:rPr>
      <w:t>th</w:t>
    </w:r>
    <w:r w:rsidR="00A74A3C">
      <w:rPr>
        <w:rFonts w:ascii="Calibri" w:hAnsi="Calibri"/>
      </w:rPr>
      <w:t xml:space="preserve"> Week Tutorial</w:t>
    </w:r>
  </w:p>
  <w:p w:rsidR="004A51BE" w:rsidRDefault="00C03AD2" w:rsidP="004A51BE">
    <w:pPr>
      <w:pStyle w:val="Header"/>
      <w:jc w:val="center"/>
      <w:rPr>
        <w:rFonts w:ascii="Calibri" w:hAnsi="Calibri"/>
      </w:rPr>
    </w:pPr>
    <w:r>
      <w:rPr>
        <w:rFonts w:ascii="Calibri" w:hAnsi="Calibri"/>
      </w:rPr>
      <w:t>21</w:t>
    </w:r>
    <w:r w:rsidR="00A74A3C">
      <w:rPr>
        <w:rFonts w:ascii="Calibri" w:hAnsi="Calibri"/>
      </w:rPr>
      <w:t xml:space="preserve"> </w:t>
    </w:r>
    <w:r w:rsidR="00427C8F">
      <w:rPr>
        <w:rFonts w:ascii="Calibri" w:hAnsi="Calibri"/>
      </w:rPr>
      <w:t>March</w:t>
    </w:r>
    <w:r w:rsidR="00A74A3C">
      <w:rPr>
        <w:rFonts w:ascii="Calibri" w:hAnsi="Calibri"/>
      </w:rPr>
      <w:t xml:space="preserve"> 2012 Wednesday</w:t>
    </w:r>
  </w:p>
  <w:p w:rsidR="004A51BE" w:rsidRPr="004A51BE" w:rsidRDefault="00C03AD2" w:rsidP="004A51BE">
    <w:pPr>
      <w:pStyle w:val="Header"/>
      <w:jc w:val="center"/>
      <w:rPr>
        <w:rFonts w:ascii="Calibri" w:hAnsi="Calibri"/>
      </w:rPr>
    </w:pPr>
    <w:r>
      <w:rPr>
        <w:rFonts w:ascii="Calibri" w:hAnsi="Calibri"/>
      </w:rPr>
      <w:t>Test of the Mean</w:t>
    </w:r>
  </w:p>
  <w:p w:rsidR="004A51BE" w:rsidRPr="004A51BE" w:rsidRDefault="004A51BE">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F7776DF"/>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29274BB"/>
    <w:multiLevelType w:val="hybridMultilevel"/>
    <w:tmpl w:val="D0F042D2"/>
    <w:lvl w:ilvl="0" w:tplc="D25EDFA0">
      <w:start w:val="1"/>
      <w:numFmt w:val="decimal"/>
      <w:lvlText w:val="%1."/>
      <w:lvlJc w:val="left"/>
      <w:pPr>
        <w:tabs>
          <w:tab w:val="num" w:pos="502"/>
        </w:tabs>
        <w:ind w:left="502" w:hanging="360"/>
      </w:pPr>
      <w:rPr>
        <w:b/>
      </w:rPr>
    </w:lvl>
    <w:lvl w:ilvl="1" w:tplc="6C9048E0">
      <w:start w:val="1"/>
      <w:numFmt w:val="upperLetter"/>
      <w:lvlText w:val="%2)"/>
      <w:lvlJc w:val="left"/>
      <w:pPr>
        <w:tabs>
          <w:tab w:val="num" w:pos="1080"/>
        </w:tabs>
        <w:ind w:left="1080" w:hanging="360"/>
      </w:pPr>
      <w:rPr>
        <w:b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98D4DE4"/>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411575F1"/>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7923D63"/>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15C4D36"/>
    <w:multiLevelType w:val="hybridMultilevel"/>
    <w:tmpl w:val="C05E8B40"/>
    <w:lvl w:ilvl="0" w:tplc="D47E6BF2">
      <w:start w:val="1"/>
      <w:numFmt w:val="lowerLetter"/>
      <w:lvlText w:val="%1."/>
      <w:lvlJc w:val="left"/>
      <w:pPr>
        <w:tabs>
          <w:tab w:val="num" w:pos="1440"/>
        </w:tabs>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0"/>
  </w:num>
  <w:num w:numId="5">
    <w:abstractNumId w:val="6"/>
  </w:num>
  <w:num w:numId="6">
    <w:abstractNumId w:val="12"/>
  </w:num>
  <w:num w:numId="7">
    <w:abstractNumId w:val="11"/>
  </w:num>
  <w:num w:numId="8">
    <w:abstractNumId w:val="5"/>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B0"/>
    <w:rsid w:val="000013F5"/>
    <w:rsid w:val="0000550F"/>
    <w:rsid w:val="00010602"/>
    <w:rsid w:val="000125BE"/>
    <w:rsid w:val="00053F6B"/>
    <w:rsid w:val="000C40FE"/>
    <w:rsid w:val="000D61AC"/>
    <w:rsid w:val="000F47FC"/>
    <w:rsid w:val="000F6D77"/>
    <w:rsid w:val="00191E2C"/>
    <w:rsid w:val="00214427"/>
    <w:rsid w:val="00215194"/>
    <w:rsid w:val="00277E53"/>
    <w:rsid w:val="002B15D8"/>
    <w:rsid w:val="002C5CC1"/>
    <w:rsid w:val="002F0D4B"/>
    <w:rsid w:val="003613AD"/>
    <w:rsid w:val="00361589"/>
    <w:rsid w:val="00374F87"/>
    <w:rsid w:val="00381B98"/>
    <w:rsid w:val="00383A16"/>
    <w:rsid w:val="00390B45"/>
    <w:rsid w:val="003B5ECA"/>
    <w:rsid w:val="003C6D31"/>
    <w:rsid w:val="003C6E1D"/>
    <w:rsid w:val="004026B0"/>
    <w:rsid w:val="00427C8F"/>
    <w:rsid w:val="0045104F"/>
    <w:rsid w:val="004604B0"/>
    <w:rsid w:val="00473C89"/>
    <w:rsid w:val="00494295"/>
    <w:rsid w:val="004A351B"/>
    <w:rsid w:val="004A51BE"/>
    <w:rsid w:val="004C59FB"/>
    <w:rsid w:val="0051135B"/>
    <w:rsid w:val="005411B8"/>
    <w:rsid w:val="005701A9"/>
    <w:rsid w:val="005742F1"/>
    <w:rsid w:val="00581873"/>
    <w:rsid w:val="005A6CAF"/>
    <w:rsid w:val="005B32D1"/>
    <w:rsid w:val="005E0AE6"/>
    <w:rsid w:val="00665218"/>
    <w:rsid w:val="006743FE"/>
    <w:rsid w:val="006849BB"/>
    <w:rsid w:val="00686F29"/>
    <w:rsid w:val="00691ED6"/>
    <w:rsid w:val="006B78D1"/>
    <w:rsid w:val="008E77DD"/>
    <w:rsid w:val="008F02F0"/>
    <w:rsid w:val="008F1D14"/>
    <w:rsid w:val="008F625F"/>
    <w:rsid w:val="009134FD"/>
    <w:rsid w:val="009143E6"/>
    <w:rsid w:val="009410E8"/>
    <w:rsid w:val="00976B43"/>
    <w:rsid w:val="009B480B"/>
    <w:rsid w:val="009B53F1"/>
    <w:rsid w:val="009B5E09"/>
    <w:rsid w:val="009C39BF"/>
    <w:rsid w:val="00A1592D"/>
    <w:rsid w:val="00A17D4F"/>
    <w:rsid w:val="00A34F52"/>
    <w:rsid w:val="00A62B09"/>
    <w:rsid w:val="00A74A3C"/>
    <w:rsid w:val="00A86E47"/>
    <w:rsid w:val="00AA4969"/>
    <w:rsid w:val="00AB227D"/>
    <w:rsid w:val="00AB3163"/>
    <w:rsid w:val="00AD5D98"/>
    <w:rsid w:val="00B135F7"/>
    <w:rsid w:val="00B13600"/>
    <w:rsid w:val="00B21817"/>
    <w:rsid w:val="00B53106"/>
    <w:rsid w:val="00B62E6B"/>
    <w:rsid w:val="00BA04CC"/>
    <w:rsid w:val="00BB7926"/>
    <w:rsid w:val="00C03AD2"/>
    <w:rsid w:val="00CF7725"/>
    <w:rsid w:val="00D03996"/>
    <w:rsid w:val="00D056EC"/>
    <w:rsid w:val="00D246A1"/>
    <w:rsid w:val="00DB08EC"/>
    <w:rsid w:val="00DB1BF8"/>
    <w:rsid w:val="00DC57A7"/>
    <w:rsid w:val="00DD2D17"/>
    <w:rsid w:val="00E4045E"/>
    <w:rsid w:val="00E844FA"/>
    <w:rsid w:val="00F41AFC"/>
    <w:rsid w:val="00F93D04"/>
    <w:rsid w:val="00FB56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ps">
    <w:name w:val="hps"/>
    <w:basedOn w:val="DefaultParagraphFont"/>
    <w:rsid w:val="00A34F52"/>
  </w:style>
  <w:style w:type="character" w:customStyle="1" w:styleId="apple-converted-space">
    <w:name w:val="apple-converted-space"/>
    <w:basedOn w:val="DefaultParagraphFont"/>
    <w:rsid w:val="00A34F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ps">
    <w:name w:val="hps"/>
    <w:basedOn w:val="DefaultParagraphFont"/>
    <w:rsid w:val="00A34F52"/>
  </w:style>
  <w:style w:type="character" w:customStyle="1" w:styleId="apple-converted-space">
    <w:name w:val="apple-converted-space"/>
    <w:basedOn w:val="DefaultParagraphFont"/>
    <w:rsid w:val="00A34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6E97B-F2C3-4D15-9BBE-4A8D4C12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SebnemEr</dc:creator>
  <cp:lastModifiedBy>SamsungXP</cp:lastModifiedBy>
  <cp:revision>64</cp:revision>
  <cp:lastPrinted>2012-03-21T12:21:00Z</cp:lastPrinted>
  <dcterms:created xsi:type="dcterms:W3CDTF">2012-02-29T07:17:00Z</dcterms:created>
  <dcterms:modified xsi:type="dcterms:W3CDTF">2012-03-28T15:54:00Z</dcterms:modified>
</cp:coreProperties>
</file>