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D30" w:rsidRPr="002B0C07" w:rsidRDefault="004E6D30" w:rsidP="004E6D30">
      <w:pPr>
        <w:jc w:val="center"/>
        <w:rPr>
          <w:b/>
        </w:rPr>
      </w:pPr>
      <w:r w:rsidRPr="002B0C07">
        <w:rPr>
          <w:b/>
        </w:rPr>
        <w:t>Istanbul University School of Business</w:t>
      </w:r>
    </w:p>
    <w:p w:rsidR="004E6D30" w:rsidRPr="002B0C07" w:rsidRDefault="00061483" w:rsidP="004E6D30">
      <w:pPr>
        <w:jc w:val="center"/>
        <w:rPr>
          <w:b/>
        </w:rPr>
      </w:pPr>
      <w:r>
        <w:rPr>
          <w:b/>
        </w:rPr>
        <w:t>Introduction to Statistics Week 9 October 2012</w:t>
      </w:r>
      <w:r w:rsidR="004E6D30" w:rsidRPr="002B0C07">
        <w:rPr>
          <w:b/>
        </w:rPr>
        <w:t xml:space="preserve"> Tutorial Material</w:t>
      </w:r>
    </w:p>
    <w:p w:rsidR="00A62B09" w:rsidRDefault="002845F0" w:rsidP="002845F0">
      <w:pPr>
        <w:pStyle w:val="ListParagraph"/>
        <w:numPr>
          <w:ilvl w:val="0"/>
          <w:numId w:val="1"/>
        </w:numPr>
      </w:pPr>
      <w:r>
        <w:t>Monthly productivity values of 20 workers are as follows. Estimate the mean productivity and describe the distribution using the skewness and kurtosis measures.</w:t>
      </w:r>
    </w:p>
    <w:p w:rsidR="00837389" w:rsidRDefault="00837389" w:rsidP="0083738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3400"/>
        <w:gridCol w:w="2066"/>
      </w:tblGrid>
      <w:tr w:rsidR="00837389" w:rsidTr="00837389">
        <w:tc>
          <w:tcPr>
            <w:tcW w:w="3400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Monthly Productivity (items/hour)</w:t>
            </w:r>
          </w:p>
        </w:tc>
        <w:tc>
          <w:tcPr>
            <w:tcW w:w="2066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Number of workers</w:t>
            </w:r>
          </w:p>
        </w:tc>
      </w:tr>
      <w:tr w:rsidR="00837389" w:rsidTr="00837389">
        <w:tc>
          <w:tcPr>
            <w:tcW w:w="3400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066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837389" w:rsidTr="00837389">
        <w:tc>
          <w:tcPr>
            <w:tcW w:w="3400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066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837389" w:rsidTr="00837389">
        <w:tc>
          <w:tcPr>
            <w:tcW w:w="3400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2066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837389" w:rsidTr="00837389">
        <w:tc>
          <w:tcPr>
            <w:tcW w:w="3400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066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837389" w:rsidTr="00837389">
        <w:tc>
          <w:tcPr>
            <w:tcW w:w="3400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2066" w:type="dxa"/>
          </w:tcPr>
          <w:p w:rsidR="00837389" w:rsidRDefault="00837389" w:rsidP="00837389">
            <w:pPr>
              <w:pStyle w:val="ListParagraph"/>
              <w:ind w:left="0"/>
              <w:jc w:val="center"/>
            </w:pPr>
            <w:r>
              <w:t>2</w:t>
            </w:r>
          </w:p>
        </w:tc>
      </w:tr>
    </w:tbl>
    <w:p w:rsidR="002845F0" w:rsidRDefault="002845F0" w:rsidP="002845F0">
      <w:pPr>
        <w:pStyle w:val="ListParagraph"/>
      </w:pPr>
    </w:p>
    <w:p w:rsidR="002845F0" w:rsidRDefault="002845F0" w:rsidP="002845F0">
      <w:pPr>
        <w:pStyle w:val="ListParagraph"/>
        <w:numPr>
          <w:ilvl w:val="0"/>
          <w:numId w:val="1"/>
        </w:numPr>
      </w:pPr>
      <w:r>
        <w:t xml:space="preserve">The distrubution of </w:t>
      </w:r>
      <w:r w:rsidR="00837389">
        <w:t xml:space="preserve">60 </w:t>
      </w:r>
      <w:r>
        <w:t>workers</w:t>
      </w:r>
      <w:r w:rsidR="00837389">
        <w:t>’</w:t>
      </w:r>
      <w:r>
        <w:t xml:space="preserve"> monthly salaries and family sizes are displayed below. According to which feature may these workers be considered as more homogeneous? Find the maximum salary of the 75% of the workers. Examine the distributions using relevant skewness and kurtosis measures.</w:t>
      </w:r>
    </w:p>
    <w:tbl>
      <w:tblPr>
        <w:tblStyle w:val="TableGrid"/>
        <w:tblW w:w="7521" w:type="dxa"/>
        <w:tblInd w:w="720" w:type="dxa"/>
        <w:tblLook w:val="04A0"/>
      </w:tblPr>
      <w:tblGrid>
        <w:gridCol w:w="1823"/>
        <w:gridCol w:w="1417"/>
        <w:gridCol w:w="1417"/>
        <w:gridCol w:w="1427"/>
        <w:gridCol w:w="1437"/>
      </w:tblGrid>
      <w:tr w:rsidR="00837389" w:rsidTr="00837389">
        <w:tc>
          <w:tcPr>
            <w:tcW w:w="1823" w:type="dxa"/>
          </w:tcPr>
          <w:p w:rsidR="00837389" w:rsidRDefault="00623B0B" w:rsidP="00837389">
            <w:pPr>
              <w:pStyle w:val="ListParagraph"/>
              <w:ind w:left="0"/>
            </w:pPr>
            <w:r>
              <w:t>Monthly S</w:t>
            </w:r>
            <w:r w:rsidR="006D2EDE">
              <w:t>alaries</w:t>
            </w:r>
            <w:r>
              <w:t xml:space="preserve"> (100 TL)</w:t>
            </w:r>
          </w:p>
        </w:tc>
        <w:tc>
          <w:tcPr>
            <w:tcW w:w="1417" w:type="dxa"/>
          </w:tcPr>
          <w:p w:rsidR="00837389" w:rsidRDefault="00623B0B" w:rsidP="00837389">
            <w:pPr>
              <w:pStyle w:val="ListParagraph"/>
              <w:ind w:left="0"/>
            </w:pPr>
            <w:r>
              <w:t>Number of Workers</w:t>
            </w: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27" w:type="dxa"/>
          </w:tcPr>
          <w:p w:rsidR="00837389" w:rsidRDefault="00623B0B" w:rsidP="00837389">
            <w:pPr>
              <w:pStyle w:val="ListParagraph"/>
              <w:ind w:left="0"/>
            </w:pPr>
            <w:r>
              <w:t>Family Size</w:t>
            </w:r>
          </w:p>
        </w:tc>
        <w:tc>
          <w:tcPr>
            <w:tcW w:w="1437" w:type="dxa"/>
          </w:tcPr>
          <w:p w:rsidR="00837389" w:rsidRDefault="00623B0B" w:rsidP="00837389">
            <w:pPr>
              <w:pStyle w:val="ListParagraph"/>
              <w:ind w:left="0"/>
            </w:pPr>
            <w:r>
              <w:t>Number of Workers</w:t>
            </w:r>
          </w:p>
        </w:tc>
      </w:tr>
      <w:tr w:rsidR="00837389" w:rsidTr="00837389">
        <w:tc>
          <w:tcPr>
            <w:tcW w:w="1823" w:type="dxa"/>
          </w:tcPr>
          <w:p w:rsidR="00837389" w:rsidRDefault="00837389" w:rsidP="00623B0B">
            <w:pPr>
              <w:pStyle w:val="ListParagraph"/>
              <w:ind w:left="0"/>
              <w:jc w:val="center"/>
            </w:pPr>
            <w:r>
              <w:t>5 – less than 8</w:t>
            </w: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27" w:type="dxa"/>
          </w:tcPr>
          <w:p w:rsidR="00837389" w:rsidRDefault="00837389" w:rsidP="0083738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37" w:type="dxa"/>
          </w:tcPr>
          <w:p w:rsidR="00837389" w:rsidRDefault="00837389" w:rsidP="00837389">
            <w:pPr>
              <w:pStyle w:val="ListParagraph"/>
              <w:ind w:left="0"/>
            </w:pPr>
            <w:r>
              <w:t>20</w:t>
            </w:r>
          </w:p>
        </w:tc>
      </w:tr>
      <w:tr w:rsidR="00837389" w:rsidTr="00837389">
        <w:tc>
          <w:tcPr>
            <w:tcW w:w="1823" w:type="dxa"/>
          </w:tcPr>
          <w:p w:rsidR="00837389" w:rsidRDefault="00837389" w:rsidP="00623B0B">
            <w:pPr>
              <w:pStyle w:val="ListParagraph"/>
              <w:ind w:left="0"/>
              <w:jc w:val="center"/>
            </w:pPr>
            <w:r>
              <w:t>8 – less than 11</w:t>
            </w: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27" w:type="dxa"/>
          </w:tcPr>
          <w:p w:rsidR="00837389" w:rsidRDefault="00837389" w:rsidP="0083738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37" w:type="dxa"/>
          </w:tcPr>
          <w:p w:rsidR="00837389" w:rsidRDefault="00837389" w:rsidP="00837389">
            <w:pPr>
              <w:pStyle w:val="ListParagraph"/>
              <w:ind w:left="0"/>
            </w:pPr>
            <w:r>
              <w:t>12</w:t>
            </w:r>
          </w:p>
        </w:tc>
      </w:tr>
      <w:tr w:rsidR="00837389" w:rsidTr="00837389">
        <w:tc>
          <w:tcPr>
            <w:tcW w:w="1823" w:type="dxa"/>
          </w:tcPr>
          <w:p w:rsidR="00837389" w:rsidRDefault="00837389" w:rsidP="00623B0B">
            <w:pPr>
              <w:pStyle w:val="ListParagraph"/>
              <w:ind w:left="0"/>
              <w:jc w:val="center"/>
            </w:pPr>
            <w:r>
              <w:t>11 – less than 14</w:t>
            </w: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27" w:type="dxa"/>
          </w:tcPr>
          <w:p w:rsidR="00837389" w:rsidRDefault="00837389" w:rsidP="0083738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37" w:type="dxa"/>
          </w:tcPr>
          <w:p w:rsidR="00837389" w:rsidRDefault="00837389" w:rsidP="00837389">
            <w:pPr>
              <w:pStyle w:val="ListParagraph"/>
              <w:ind w:left="0"/>
            </w:pPr>
            <w:r>
              <w:t>11</w:t>
            </w:r>
          </w:p>
        </w:tc>
      </w:tr>
      <w:tr w:rsidR="00837389" w:rsidTr="00837389">
        <w:tc>
          <w:tcPr>
            <w:tcW w:w="1823" w:type="dxa"/>
          </w:tcPr>
          <w:p w:rsidR="00837389" w:rsidRDefault="00837389" w:rsidP="00623B0B">
            <w:pPr>
              <w:pStyle w:val="ListParagraph"/>
              <w:ind w:left="0"/>
              <w:jc w:val="center"/>
            </w:pPr>
            <w:r>
              <w:t>14 – less than 17</w:t>
            </w: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27" w:type="dxa"/>
          </w:tcPr>
          <w:p w:rsidR="00837389" w:rsidRDefault="00837389" w:rsidP="0083738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37" w:type="dxa"/>
          </w:tcPr>
          <w:p w:rsidR="00837389" w:rsidRDefault="00837389" w:rsidP="00837389">
            <w:pPr>
              <w:pStyle w:val="ListParagraph"/>
              <w:ind w:left="0"/>
            </w:pPr>
            <w:r>
              <w:t>8</w:t>
            </w:r>
          </w:p>
        </w:tc>
      </w:tr>
      <w:tr w:rsidR="00837389" w:rsidTr="00837389">
        <w:tc>
          <w:tcPr>
            <w:tcW w:w="1823" w:type="dxa"/>
          </w:tcPr>
          <w:p w:rsidR="00837389" w:rsidRDefault="00837389" w:rsidP="00623B0B">
            <w:pPr>
              <w:pStyle w:val="ListParagraph"/>
              <w:ind w:left="0"/>
              <w:jc w:val="center"/>
            </w:pPr>
            <w:r>
              <w:t>17 – less than 20</w:t>
            </w: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27" w:type="dxa"/>
          </w:tcPr>
          <w:p w:rsidR="00837389" w:rsidRDefault="00837389" w:rsidP="0083738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37" w:type="dxa"/>
          </w:tcPr>
          <w:p w:rsidR="00837389" w:rsidRDefault="00837389" w:rsidP="00837389">
            <w:pPr>
              <w:pStyle w:val="ListParagraph"/>
              <w:ind w:left="0"/>
            </w:pPr>
            <w:r>
              <w:t>7</w:t>
            </w:r>
          </w:p>
        </w:tc>
      </w:tr>
      <w:tr w:rsidR="00837389" w:rsidTr="00837389">
        <w:tc>
          <w:tcPr>
            <w:tcW w:w="1823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27" w:type="dxa"/>
          </w:tcPr>
          <w:p w:rsidR="00837389" w:rsidRDefault="00837389" w:rsidP="0083738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37" w:type="dxa"/>
          </w:tcPr>
          <w:p w:rsidR="00837389" w:rsidRDefault="00837389" w:rsidP="00837389">
            <w:pPr>
              <w:pStyle w:val="ListParagraph"/>
              <w:ind w:left="0"/>
            </w:pPr>
            <w:r>
              <w:t>2</w:t>
            </w:r>
          </w:p>
        </w:tc>
      </w:tr>
      <w:tr w:rsidR="00837389" w:rsidTr="00837389">
        <w:tc>
          <w:tcPr>
            <w:tcW w:w="1823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2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  <w:tc>
          <w:tcPr>
            <w:tcW w:w="1437" w:type="dxa"/>
          </w:tcPr>
          <w:p w:rsidR="00837389" w:rsidRDefault="00837389" w:rsidP="00837389">
            <w:pPr>
              <w:pStyle w:val="ListParagraph"/>
              <w:ind w:left="0"/>
            </w:pPr>
          </w:p>
        </w:tc>
      </w:tr>
    </w:tbl>
    <w:p w:rsidR="00837389" w:rsidRDefault="00837389" w:rsidP="00837389">
      <w:pPr>
        <w:pStyle w:val="ListParagraph"/>
      </w:pPr>
    </w:p>
    <w:p w:rsidR="002845F0" w:rsidRDefault="002845F0" w:rsidP="002845F0">
      <w:pPr>
        <w:pStyle w:val="ListParagraph"/>
        <w:numPr>
          <w:ilvl w:val="0"/>
          <w:numId w:val="1"/>
        </w:numPr>
      </w:pPr>
      <w:r>
        <w:t xml:space="preserve">The employment to population ratio of females above the age 15 and the life expectancy of females at birth for high income OECD countries </w:t>
      </w:r>
      <w:r w:rsidR="00F829B8">
        <w:t xml:space="preserve">in 2008 </w:t>
      </w:r>
      <w:r>
        <w:t>are given as follows. Examine and describe these countries using the appropriate descriptive statistics.</w:t>
      </w:r>
    </w:p>
    <w:tbl>
      <w:tblPr>
        <w:tblStyle w:val="TableGrid"/>
        <w:tblW w:w="4657" w:type="dxa"/>
        <w:tblInd w:w="720" w:type="dxa"/>
        <w:tblLook w:val="04A0"/>
      </w:tblPr>
      <w:tblGrid>
        <w:gridCol w:w="1823"/>
        <w:gridCol w:w="1417"/>
        <w:gridCol w:w="1417"/>
      </w:tblGrid>
      <w:tr w:rsidR="00D10BC5" w:rsidTr="00F829B8">
        <w:tc>
          <w:tcPr>
            <w:tcW w:w="1823" w:type="dxa"/>
            <w:vAlign w:val="center"/>
          </w:tcPr>
          <w:p w:rsidR="00D10BC5" w:rsidRDefault="00D10BC5" w:rsidP="00F829B8">
            <w:pPr>
              <w:pStyle w:val="ListParagraph"/>
              <w:ind w:left="0"/>
              <w:jc w:val="center"/>
            </w:pPr>
            <w:r>
              <w:t>Countries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E</w:t>
            </w:r>
            <w:r w:rsidR="00D10BC5">
              <w:t>mployment to population ratio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L</w:t>
            </w:r>
            <w:r w:rsidR="00D10BC5">
              <w:t>ife expectancy of females</w:t>
            </w:r>
          </w:p>
        </w:tc>
      </w:tr>
      <w:tr w:rsidR="00D10BC5" w:rsidTr="00D10BC5">
        <w:tc>
          <w:tcPr>
            <w:tcW w:w="1823" w:type="dxa"/>
          </w:tcPr>
          <w:p w:rsidR="00D10BC5" w:rsidRDefault="00D10BC5" w:rsidP="00D10BC5">
            <w:pPr>
              <w:pStyle w:val="ListParagraph"/>
              <w:ind w:left="0"/>
              <w:jc w:val="center"/>
            </w:pPr>
            <w:r>
              <w:t>Australia</w:t>
            </w:r>
          </w:p>
        </w:tc>
        <w:tc>
          <w:tcPr>
            <w:tcW w:w="1417" w:type="dxa"/>
          </w:tcPr>
          <w:p w:rsidR="00D10BC5" w:rsidRDefault="00D10BC5" w:rsidP="00F829B8">
            <w:pPr>
              <w:pStyle w:val="ListParagraph"/>
              <w:ind w:left="0"/>
              <w:jc w:val="center"/>
            </w:pPr>
            <w:r>
              <w:t>83.70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52.70</w:t>
            </w:r>
          </w:p>
        </w:tc>
      </w:tr>
      <w:tr w:rsidR="00D10BC5" w:rsidTr="00D10BC5">
        <w:tc>
          <w:tcPr>
            <w:tcW w:w="1823" w:type="dxa"/>
          </w:tcPr>
          <w:p w:rsidR="00D10BC5" w:rsidRDefault="00D10BC5" w:rsidP="00D10BC5">
            <w:pPr>
              <w:pStyle w:val="ListParagraph"/>
              <w:ind w:left="0"/>
              <w:jc w:val="center"/>
            </w:pPr>
            <w:r>
              <w:t>Austria</w:t>
            </w:r>
          </w:p>
        </w:tc>
        <w:tc>
          <w:tcPr>
            <w:tcW w:w="1417" w:type="dxa"/>
          </w:tcPr>
          <w:p w:rsidR="00D10BC5" w:rsidRDefault="00D10BC5" w:rsidP="00F829B8">
            <w:pPr>
              <w:pStyle w:val="ListParagraph"/>
              <w:ind w:left="0"/>
              <w:jc w:val="center"/>
            </w:pPr>
            <w:r>
              <w:t>83.28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47.30</w:t>
            </w:r>
          </w:p>
        </w:tc>
      </w:tr>
      <w:tr w:rsidR="00D10BC5" w:rsidTr="00D10BC5">
        <w:tc>
          <w:tcPr>
            <w:tcW w:w="1823" w:type="dxa"/>
          </w:tcPr>
          <w:p w:rsidR="00D10BC5" w:rsidRDefault="00D10BC5" w:rsidP="00D10BC5">
            <w:pPr>
              <w:pStyle w:val="ListParagraph"/>
              <w:ind w:left="0"/>
              <w:jc w:val="center"/>
            </w:pPr>
            <w:r>
              <w:t>Belgium</w:t>
            </w:r>
          </w:p>
        </w:tc>
        <w:tc>
          <w:tcPr>
            <w:tcW w:w="1417" w:type="dxa"/>
          </w:tcPr>
          <w:p w:rsidR="00D10BC5" w:rsidRDefault="00D10BC5" w:rsidP="00F829B8">
            <w:pPr>
              <w:pStyle w:val="ListParagraph"/>
              <w:ind w:left="0"/>
              <w:jc w:val="center"/>
            </w:pPr>
            <w:r>
              <w:t>82.90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39.70</w:t>
            </w:r>
          </w:p>
        </w:tc>
      </w:tr>
      <w:tr w:rsidR="00D10BC5" w:rsidTr="00D10BC5">
        <w:tc>
          <w:tcPr>
            <w:tcW w:w="1823" w:type="dxa"/>
          </w:tcPr>
          <w:p w:rsidR="00D10BC5" w:rsidRDefault="00D10BC5" w:rsidP="00D10BC5">
            <w:pPr>
              <w:pStyle w:val="ListParagraph"/>
              <w:ind w:left="0"/>
              <w:jc w:val="center"/>
            </w:pPr>
            <w:r>
              <w:t>Canada</w:t>
            </w:r>
          </w:p>
        </w:tc>
        <w:tc>
          <w:tcPr>
            <w:tcW w:w="1417" w:type="dxa"/>
          </w:tcPr>
          <w:p w:rsidR="00D10BC5" w:rsidRDefault="00D10BC5" w:rsidP="00F829B8">
            <w:pPr>
              <w:pStyle w:val="ListParagraph"/>
              <w:ind w:left="0"/>
              <w:jc w:val="center"/>
            </w:pPr>
            <w:r>
              <w:t>83.28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56.40</w:t>
            </w:r>
          </w:p>
        </w:tc>
      </w:tr>
      <w:tr w:rsidR="00D10BC5" w:rsidTr="00D10BC5">
        <w:tc>
          <w:tcPr>
            <w:tcW w:w="1823" w:type="dxa"/>
          </w:tcPr>
          <w:p w:rsidR="00D10BC5" w:rsidRDefault="00D10BC5" w:rsidP="00D10BC5">
            <w:pPr>
              <w:pStyle w:val="ListParagraph"/>
              <w:ind w:left="0"/>
              <w:jc w:val="center"/>
            </w:pPr>
            <w:r>
              <w:t>Czech Republic</w:t>
            </w:r>
          </w:p>
        </w:tc>
        <w:tc>
          <w:tcPr>
            <w:tcW w:w="1417" w:type="dxa"/>
          </w:tcPr>
          <w:p w:rsidR="00D10BC5" w:rsidRDefault="00D10BC5" w:rsidP="00F829B8">
            <w:pPr>
              <w:pStyle w:val="ListParagraph"/>
              <w:ind w:left="0"/>
              <w:jc w:val="center"/>
            </w:pPr>
            <w:r>
              <w:t>80.52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45.70</w:t>
            </w:r>
          </w:p>
        </w:tc>
      </w:tr>
      <w:tr w:rsidR="00D10BC5" w:rsidTr="00D10BC5">
        <w:tc>
          <w:tcPr>
            <w:tcW w:w="1823" w:type="dxa"/>
          </w:tcPr>
          <w:p w:rsidR="00D10BC5" w:rsidRDefault="00D10BC5" w:rsidP="00D10BC5">
            <w:pPr>
              <w:pStyle w:val="ListParagraph"/>
              <w:ind w:left="0"/>
              <w:jc w:val="center"/>
            </w:pPr>
            <w:r>
              <w:t>Denmark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80.99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54.80</w:t>
            </w:r>
          </w:p>
        </w:tc>
      </w:tr>
      <w:tr w:rsidR="00D10BC5" w:rsidTr="00D10BC5">
        <w:tc>
          <w:tcPr>
            <w:tcW w:w="1823" w:type="dxa"/>
          </w:tcPr>
          <w:p w:rsidR="00D10BC5" w:rsidRDefault="00D10BC5" w:rsidP="00D10BC5">
            <w:pPr>
              <w:pStyle w:val="ListParagraph"/>
              <w:ind w:left="0"/>
              <w:jc w:val="center"/>
            </w:pPr>
            <w:r>
              <w:t>Finland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83.28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50.40</w:t>
            </w:r>
          </w:p>
        </w:tc>
      </w:tr>
      <w:tr w:rsidR="00D10BC5" w:rsidTr="00D10BC5">
        <w:tc>
          <w:tcPr>
            <w:tcW w:w="1823" w:type="dxa"/>
          </w:tcPr>
          <w:p w:rsidR="00D10BC5" w:rsidRDefault="00D10BC5" w:rsidP="00D10BC5">
            <w:pPr>
              <w:pStyle w:val="ListParagraph"/>
              <w:ind w:left="0"/>
              <w:jc w:val="center"/>
            </w:pPr>
            <w:r>
              <w:t>France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85.20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42.20</w:t>
            </w:r>
          </w:p>
        </w:tc>
      </w:tr>
      <w:tr w:rsidR="00D10BC5" w:rsidTr="00D10BC5">
        <w:tc>
          <w:tcPr>
            <w:tcW w:w="1823" w:type="dxa"/>
          </w:tcPr>
          <w:p w:rsidR="00D10BC5" w:rsidRDefault="00D10BC5" w:rsidP="00D10BC5">
            <w:pPr>
              <w:pStyle w:val="ListParagraph"/>
              <w:ind w:left="0"/>
              <w:jc w:val="center"/>
            </w:pPr>
            <w:r>
              <w:t>Germany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82.67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44.80</w:t>
            </w:r>
          </w:p>
        </w:tc>
      </w:tr>
      <w:tr w:rsidR="00D10BC5" w:rsidTr="00D10BC5">
        <w:tc>
          <w:tcPr>
            <w:tcW w:w="1823" w:type="dxa"/>
          </w:tcPr>
          <w:p w:rsidR="00D10BC5" w:rsidRDefault="00D10BC5" w:rsidP="00D10BC5">
            <w:pPr>
              <w:pStyle w:val="ListParagraph"/>
              <w:ind w:left="0"/>
              <w:jc w:val="center"/>
            </w:pPr>
            <w:r>
              <w:t>Switzerland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84.61</w:t>
            </w:r>
          </w:p>
        </w:tc>
        <w:tc>
          <w:tcPr>
            <w:tcW w:w="1417" w:type="dxa"/>
          </w:tcPr>
          <w:p w:rsidR="00D10BC5" w:rsidRDefault="00F829B8" w:rsidP="00F829B8">
            <w:pPr>
              <w:pStyle w:val="ListParagraph"/>
              <w:ind w:left="0"/>
              <w:jc w:val="center"/>
            </w:pPr>
            <w:r>
              <w:t>53.60</w:t>
            </w:r>
          </w:p>
        </w:tc>
      </w:tr>
    </w:tbl>
    <w:p w:rsidR="00D10BC5" w:rsidRDefault="00D10BC5" w:rsidP="00D10BC5">
      <w:pPr>
        <w:pStyle w:val="ListParagraph"/>
      </w:pPr>
    </w:p>
    <w:sectPr w:rsidR="00D10BC5" w:rsidSect="00A62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66F94"/>
    <w:multiLevelType w:val="hybridMultilevel"/>
    <w:tmpl w:val="F05EDD1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2845F0"/>
    <w:rsid w:val="00061483"/>
    <w:rsid w:val="00274DDC"/>
    <w:rsid w:val="002845F0"/>
    <w:rsid w:val="002C20D6"/>
    <w:rsid w:val="004E6D30"/>
    <w:rsid w:val="00623B0B"/>
    <w:rsid w:val="006D2EDE"/>
    <w:rsid w:val="00837389"/>
    <w:rsid w:val="009011FA"/>
    <w:rsid w:val="009E2433"/>
    <w:rsid w:val="00A20309"/>
    <w:rsid w:val="00A62B09"/>
    <w:rsid w:val="00D10BC5"/>
    <w:rsid w:val="00DF351B"/>
    <w:rsid w:val="00F8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5F0"/>
    <w:pPr>
      <w:ind w:left="720"/>
      <w:contextualSpacing/>
    </w:pPr>
  </w:style>
  <w:style w:type="table" w:styleId="TableGrid">
    <w:name w:val="Table Grid"/>
    <w:basedOn w:val="TableNormal"/>
    <w:uiPriority w:val="59"/>
    <w:rsid w:val="008373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SebnemEr</cp:lastModifiedBy>
  <cp:revision>8</cp:revision>
  <dcterms:created xsi:type="dcterms:W3CDTF">2011-10-25T11:05:00Z</dcterms:created>
  <dcterms:modified xsi:type="dcterms:W3CDTF">2012-11-05T09:33:00Z</dcterms:modified>
</cp:coreProperties>
</file>