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Quarterly Performance Review</w:t>
      </w:r>
    </w:p>
    <w:p>
      <w:pPr>
        <w:pStyle w:val="Heading1"/>
      </w:pPr>
      <w:r>
        <w:t>Market Summary</w:t>
      </w:r>
    </w:p>
    <w:p>
      <w:r>
        <w:t>The technology sector experienced a strong quarter, driven by robust demand for cloud computing and AI solutions. This trend has positively impacted the portfolio's overall performance. This section will detail the key drivers of this performance and provide a forward-looking outlook.</w:t>
      </w:r>
    </w:p>
    <w:p>
      <w:pPr>
        <w:pStyle w:val="Heading1"/>
      </w:pPr>
      <w:r>
        <w:t>Portfolio Holdings Analysis</w:t>
      </w:r>
    </w:p>
    <w:p>
      <w:r>
        <w:t>Our top holdings in the tech space, particularly in companies focused on enterprise software, showed significant gains. We will now present the specific performance data for these holdings in a table below.</w:t>
      </w:r>
    </w:p>
    <w:p>
      <w:pPr>
        <w:pStyle w:val="Heading2"/>
      </w:pPr>
      <w:r>
        <w:t>Financial Data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Date</w:t>
            </w:r>
          </w:p>
        </w:tc>
        <w:tc>
          <w:tcPr>
            <w:tcW w:type="dxa" w:w="2160"/>
          </w:tcPr>
          <w:p>
            <w:r>
              <w:t>Stock</w:t>
            </w:r>
          </w:p>
        </w:tc>
        <w:tc>
          <w:tcPr>
            <w:tcW w:type="dxa" w:w="2160"/>
          </w:tcPr>
          <w:p>
            <w:r>
              <w:t>Close Price</w:t>
            </w:r>
          </w:p>
        </w:tc>
        <w:tc>
          <w:tcPr>
            <w:tcW w:type="dxa" w:w="2160"/>
          </w:tcPr>
          <w:p>
            <w:r>
              <w:t>Volume</w:t>
            </w:r>
          </w:p>
        </w:tc>
      </w:tr>
      <w:tr>
        <w:tc>
          <w:tcPr>
            <w:tcW w:type="dxa" w:w="2160"/>
          </w:tcPr>
          <w:p>
            <w:r>
              <w:t>2025-01-01</w:t>
            </w:r>
          </w:p>
        </w:tc>
        <w:tc>
          <w:tcPr>
            <w:tcW w:type="dxa" w:w="2160"/>
          </w:tcPr>
          <w:p>
            <w:r>
              <w:t>AAPL</w:t>
            </w:r>
          </w:p>
        </w:tc>
        <w:tc>
          <w:tcPr>
            <w:tcW w:type="dxa" w:w="2160"/>
          </w:tcPr>
          <w:p>
            <w:r>
              <w:t>180.5</w:t>
            </w:r>
          </w:p>
        </w:tc>
        <w:tc>
          <w:tcPr>
            <w:tcW w:type="dxa" w:w="2160"/>
          </w:tcPr>
          <w:p>
            <w:r>
              <w:t>120000000</w:t>
            </w:r>
          </w:p>
        </w:tc>
      </w:tr>
      <w:tr>
        <w:tc>
          <w:tcPr>
            <w:tcW w:type="dxa" w:w="2160"/>
          </w:tcPr>
          <w:p>
            <w:r>
              <w:t>2025-01-02</w:t>
            </w:r>
          </w:p>
        </w:tc>
        <w:tc>
          <w:tcPr>
            <w:tcW w:type="dxa" w:w="2160"/>
          </w:tcPr>
          <w:p>
            <w:r>
              <w:t>AAPL</w:t>
            </w:r>
          </w:p>
        </w:tc>
        <w:tc>
          <w:tcPr>
            <w:tcW w:type="dxa" w:w="2160"/>
          </w:tcPr>
          <w:p>
            <w:r>
              <w:t>182.75</w:t>
            </w:r>
          </w:p>
        </w:tc>
        <w:tc>
          <w:tcPr>
            <w:tcW w:type="dxa" w:w="2160"/>
          </w:tcPr>
          <w:p>
            <w:r>
              <w:t>115000000</w:t>
            </w:r>
          </w:p>
        </w:tc>
      </w:tr>
      <w:tr>
        <w:tc>
          <w:tcPr>
            <w:tcW w:type="dxa" w:w="2160"/>
          </w:tcPr>
          <w:p>
            <w:r>
              <w:t>2025-01-03</w:t>
            </w:r>
          </w:p>
        </w:tc>
        <w:tc>
          <w:tcPr>
            <w:tcW w:type="dxa" w:w="2160"/>
          </w:tcPr>
          <w:p>
            <w:r>
              <w:t>MSFT</w:t>
            </w:r>
          </w:p>
        </w:tc>
        <w:tc>
          <w:tcPr>
            <w:tcW w:type="dxa" w:w="2160"/>
          </w:tcPr>
          <w:p>
            <w:r>
              <w:t>295.1</w:t>
            </w:r>
          </w:p>
        </w:tc>
        <w:tc>
          <w:tcPr>
            <w:tcW w:type="dxa" w:w="2160"/>
          </w:tcPr>
          <w:p>
            <w:r>
              <w:t>85000000</w:t>
            </w:r>
          </w:p>
        </w:tc>
      </w:tr>
      <w:tr>
        <w:tc>
          <w:tcPr>
            <w:tcW w:type="dxa" w:w="2160"/>
          </w:tcPr>
          <w:p>
            <w:r>
              <w:t>2025-01-04</w:t>
            </w:r>
          </w:p>
        </w:tc>
        <w:tc>
          <w:tcPr>
            <w:tcW w:type="dxa" w:w="2160"/>
          </w:tcPr>
          <w:p>
            <w:r>
              <w:t>MSFT</w:t>
            </w:r>
          </w:p>
        </w:tc>
        <w:tc>
          <w:tcPr>
            <w:tcW w:type="dxa" w:w="2160"/>
          </w:tcPr>
          <w:p>
            <w:r>
              <w:t>298.5</w:t>
            </w:r>
          </w:p>
        </w:tc>
        <w:tc>
          <w:tcPr>
            <w:tcW w:type="dxa" w:w="2160"/>
          </w:tcPr>
          <w:p>
            <w:r>
              <w:t>90000000</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Report | Generated by Asset Management AI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