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Fixed Effects From the Primary Linear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1"/>
        <w:gridCol w:w="912"/>
        <w:gridCol w:w="839"/>
        <w:gridCol w:w="1585"/>
        <w:gridCol w:w="961"/>
        <w:gridCol w:w="961"/>
        <w:gridCol w:w="10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[1.41, 2.38]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Condition: LB versus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[-0.41,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2 versus Trial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[0.45,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3 versus Trial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[0.68,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4 versus Trial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[1.12,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Order: LB-HB versus HB-LB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effort (centered)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0.83]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HB is the reference condition, Trial 1 is the reference trial, and HB-LB is the reference order. Baseline effort was grand-mean centered. Participant-specific intercepts and condition slopes were included as random effects.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Model-Adjusted Mean Effort Ratings by Condition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3"/>
        <w:gridCol w:w="1706"/>
        <w:gridCol w:w="839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Estimated 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boredom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[2.47, 3.17]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boredom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[2.38, 3.05]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Estimated means are adjusted for trial, trial order, and baseline effort.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Overall Low-Boredom Minus High-Boredom Effort Contrast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315"/>
        <w:gridCol w:w="1328"/>
        <w:gridCol w:w="839"/>
        <w:gridCol w:w="1658"/>
        <w:gridCol w:w="961"/>
        <w:gridCol w:w="912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Primary: baseline-adjusted random slope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[-0.42, 0.21]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Sensitivity: unadjusted random intercept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[-0.41, -0.02]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A negative estimate indicates lower effort in the low-boredom condition. The unadjusted model is reported as a sensitivity analysis.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Omnibus Condition-by-Trial Interaction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5"/>
        <w:gridCol w:w="839"/>
        <w:gridCol w:w="618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 × Trial 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The likelihood-ratio test compares maximum-likelihood models.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Low-Boredom Minus High-Boredom Contrasts at Each Trial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1315"/>
        <w:gridCol w:w="1328"/>
        <w:gridCol w:w="839"/>
        <w:gridCol w:w="1585"/>
        <w:gridCol w:w="961"/>
        <w:gridCol w:w="912"/>
        <w:gridCol w:w="13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[-0.38, 0.46]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[-0.63,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 - HB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[-0.59, 0.25]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Negative estimates indicate lower effort in the low-boredom condition. P values are adjusted across the four trials using Holm's method.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2026-09-15T21:04:19Z</dcterms:modified>
  <cp:category/>
</cp:coreProperties>
</file>