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0"/>
          <w:szCs w:val="20"/>
          <w:color w:val="000000"/>
        </w:rPr>
        <w:t xml:space="preserve">Figure 2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000000"/>
        </w:rPr>
        <w:t xml:space="preserve">Model-Adjusted Effort Ratings Across Trials by Condition</w:t>
      </w:r>
    </w:p>
    <w:p>
      <w:pPr>
        <w:pStyle w:val="Normal"/>
      </w:pPr>
      <w:r>
        <w:rPr/>
        <w:drawing>
          <wp:inline distT="0" distB="0" distL="0" distR="0">
            <wp:extent cx="64008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0"/>
          <w:szCs w:val="20"/>
          <w:color w:val="000000"/>
        </w:rPr>
        <w:t xml:space="preserve">Note. Points represent estimated marginal means from the baseline-adjusted random-slope model. Error bars represent 95% confidence intervals. Estimates are adjusted for baseline effort and trial order.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2d1127d0768dbbb3abe1fd2c56580e5040a4332e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2026-09-15T21:18:12Z</dcterms:modified>
  <cp:category/>
</cp:coreProperties>
</file>