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6"/>
          <w:szCs w:val="56"/>
        </w:rPr>
        <w:t xml:space="preserve">SecOpsAI</w:t>
      </w:r>
    </w:p>
    <w:p>
      <w:pPr>
        <w:spacing w:after="80"/>
        <w:jc w:val="center"/>
      </w:pPr>
      <w:r>
        <w:rPr>
          <w:rFonts w:ascii="Arial" w:cs="Arial" w:eastAsia="Arial" w:hAnsi="Arial"/>
          <w:color w:val="2E75B6"/>
          <w:sz w:val="32"/>
          <w:szCs w:val="32"/>
        </w:rPr>
        <w:t xml:space="preserve">STRIDE Threat Model &amp; Architecture Decision Record</w:t>
      </w:r>
    </w:p>
    <w:p>
      <w:pPr>
        <w:spacing w:after="80"/>
        <w:jc w:val="center"/>
      </w:pPr>
      <w:r>
        <w:rPr>
          <w:rFonts w:ascii="Arial" w:cs="Arial" w:eastAsia="Arial" w:hAnsi="Arial"/>
          <w:color w:val="666666"/>
          <w:sz w:val="22"/>
          <w:szCs w:val="22"/>
        </w:rPr>
        <w:t xml:space="preserve">Deliverable 1 | Member 1 – Security Architect</w:t>
      </w:r>
    </w:p>
    <w:p>
      <w:pPr>
        <w:spacing w:after="400"/>
        <w:jc w:val="center"/>
      </w:pPr>
      <w:r>
        <w:rPr>
          <w:rFonts w:ascii="Arial" w:cs="Arial" w:eastAsia="Arial" w:hAnsi="Arial"/>
          <w:i/>
          <w:iCs/>
          <w:color w:val="999999"/>
          <w:sz w:val="20"/>
          <w:szCs w:val="20"/>
        </w:rPr>
        <w:t xml:space="preserve">Cohort 2, 2026 | Expadox Lab – Confidential</w:t>
      </w:r>
    </w:p>
    <w:p>
      <w:pPr>
        <w:pStyle w:val="Heading1"/>
        <w:spacing w:after="160" w:before="320"/>
      </w:pPr>
      <w:r>
        <w:rPr>
          <w:rFonts w:ascii="Arial" w:cs="Arial" w:eastAsia="Arial" w:hAnsi="Arial"/>
          <w:b/>
          <w:bCs/>
          <w:color w:val="1F3864"/>
          <w:sz w:val="32"/>
          <w:szCs w:val="32"/>
        </w:rPr>
        <w:t xml:space="preserve">1. System Overview &amp; Trust Boundaries</w:t>
      </w:r>
    </w:p>
    <w:p>
      <w:pPr>
        <w:spacing w:after="100"/>
      </w:pPr>
      <w:r>
        <w:rPr>
          <w:rFonts w:ascii="Arial" w:cs="Arial" w:eastAsia="Arial" w:hAnsi="Arial"/>
          <w:b w:val="false"/>
          <w:bCs w:val="false"/>
          <w:color w:val="000000"/>
          <w:sz w:val="22"/>
          <w:szCs w:val="22"/>
        </w:rPr>
        <w:t xml:space="preserve">SecOpsAI ingests network traffic (PCAP) and endpoint logs, extracts behavioral features, classifies threats via ML, enriches alerts through external APIs, and executes automated containment actions. The following trust boundaries are defined across the system: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Boundary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Trust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Sensor Boundary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Sensors (Zeek/Suricata), Endpoint Log Agents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Semi-Trusted</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Internet Boundary</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VirusTotal API, Shodan API, Slack/Email</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Untrusted External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Boundary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FastAPI Service (POST /detect)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Public Attack Surface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Model Boundary</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ML Detection Engine, PostgreSQL, Feature Engineering</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Highest-Value Assets</w:t>
            </w:r>
          </w:p>
        </w:tc>
      </w:tr>
    </w:tbl>
    <w:p>
      <w:pPr>
        <w:spacing w:after="320"/>
      </w:pPr>
    </w:p>
    <w:p>
      <w:pPr>
        <w:pStyle w:val="Heading1"/>
        <w:spacing w:after="160" w:before="320"/>
      </w:pPr>
      <w:r>
        <w:rPr>
          <w:rFonts w:ascii="Arial" w:cs="Arial" w:eastAsia="Arial" w:hAnsi="Arial"/>
          <w:b/>
          <w:bCs/>
          <w:color w:val="1F3864"/>
          <w:sz w:val="32"/>
          <w:szCs w:val="32"/>
        </w:rPr>
        <w:t xml:space="preserve">2. STRIDE Threat Model</w:t>
      </w:r>
    </w:p>
    <w:p>
      <w:pPr>
        <w:pStyle w:val="Heading2"/>
        <w:spacing w:after="120" w:before="240"/>
      </w:pPr>
      <w:r>
        <w:rPr>
          <w:rFonts w:ascii="Arial" w:cs="Arial" w:eastAsia="Arial" w:hAnsi="Arial"/>
          <w:b/>
          <w:bCs/>
          <w:color w:val="2E75B6"/>
          <w:sz w:val="26"/>
          <w:szCs w:val="26"/>
        </w:rPr>
        <w:t xml:space="preserve">S – Spoofing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800"/>
        <w:gridCol w:w="2000"/>
        <w:gridCol w:w="2400"/>
      </w:tblGrid>
      <w:t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MITRE ATT&amp;CK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Attacker spoofs network sensor to inject false PCAP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Sensors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T1001 – Data Obfuscation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Mutual TLS between sensors and ingestion; sensor certificates enforced</w:t>
            </w:r>
          </w:p>
        </w:tc>
      </w:tr>
      <w:tr>
        <w:tc>
          <w:tcPr>
            <w:tcW w:type="dxa" w:w="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S2</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Attacker spoofs API client to submit crafted detection requests</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FastAPI /detect</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T1078 – Valid Accounts</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JWT authentication; short-lived tokens; API key rotation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Attacker spoofs VirusTotal/Shodan responses via DNS hijacking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Threat Enrichment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T1584 – Compromise Infrastructure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Pin TLS certificates; validate response schemas</w:t>
            </w:r>
          </w:p>
        </w:tc>
      </w:tr>
      <w:tr>
        <w:tc>
          <w:tcPr>
            <w:tcW w:type="dxa" w:w="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S4</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Attacker impersonates SOC analyst to access dashboards</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Observability Layer</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T1078.004 – Cloud Accounts</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RBAC enforced; MFA required for dashboard access</w:t>
            </w:r>
          </w:p>
        </w:tc>
      </w:tr>
    </w:tbl>
    <w:p>
      <w:pPr>
        <w:spacing w:after="240"/>
      </w:pPr>
    </w:p>
    <w:p>
      <w:pPr>
        <w:pStyle w:val="Heading2"/>
        <w:spacing w:after="120" w:before="240"/>
      </w:pPr>
      <w:r>
        <w:rPr>
          <w:rFonts w:ascii="Arial" w:cs="Arial" w:eastAsia="Arial" w:hAnsi="Arial"/>
          <w:b/>
          <w:bCs/>
          <w:color w:val="2E75B6"/>
          <w:sz w:val="26"/>
          <w:szCs w:val="26"/>
        </w:rPr>
        <w:t xml:space="preserve">T – Tampering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800"/>
        <w:gridCol w:w="2000"/>
        <w:gridCol w:w="2400"/>
      </w:tblGrid>
      <w:t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MITRE ATT&amp;CK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Tamper with PCAP files before ingestion to corrupt feature extraction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Feature Extractor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T1565.001 – Stored Data Manipulation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SHA-256 hash verification on every ingested file</w:t>
            </w:r>
          </w:p>
        </w:tc>
      </w:tr>
      <w:tr>
        <w:tc>
          <w:tcPr>
            <w:tcW w:type="dxa" w:w="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T2</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Adversarial injection into Kafka raw-features topic</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Kafka Topics</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T1565 – Data Manipulation</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Kafka ACLs; producer authentication; schema validation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poisoning: inject mislabelled training samples to degrade 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ML Engine / Training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AML.T0020 – Poison Training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Signed datasets; distribution anomaly detection; MLflow provenance</w:t>
            </w:r>
          </w:p>
        </w:tc>
      </w:tr>
      <w:tr>
        <w:tc>
          <w:tcPr>
            <w:tcW w:type="dxa" w:w="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T4</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Modify model artifacts in MLflow between training and serving</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MLflow / Model Boundary</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T1565.001</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Cryptographic artifact signing; hash verification before load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audit logs tampered to cover attacker activity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T1565.003 – Runtime Data Manipulation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Append-only audit log; log shipping to immutable store</w:t>
            </w:r>
          </w:p>
        </w:tc>
      </w:tr>
    </w:tbl>
    <w:p>
      <w:pPr>
        <w:spacing w:after="240"/>
      </w:pPr>
    </w:p>
    <w:p>
      <w:pPr>
        <w:pStyle w:val="Heading2"/>
        <w:spacing w:after="120" w:before="240"/>
      </w:pPr>
      <w:r>
        <w:rPr>
          <w:rFonts w:ascii="Arial" w:cs="Arial" w:eastAsia="Arial" w:hAnsi="Arial"/>
          <w:b/>
          <w:bCs/>
          <w:color w:val="2E75B6"/>
          <w:sz w:val="26"/>
          <w:szCs w:val="26"/>
        </w:rPr>
        <w:t xml:space="preserve">R – Repudiation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800"/>
        <w:gridCol w:w="2000"/>
        <w:gridCol w:w="2400"/>
      </w:tblGrid>
      <w:t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MITRE ATT&amp;CK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caller denies submitting malicious detection 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FastAPI /detect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T1562.006 – Indicator Blocking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Structured audit log (timestamp, JWT subject, payload hash) per call</w:t>
            </w:r>
          </w:p>
        </w:tc>
      </w:tr>
      <w:tr>
        <w:tc>
          <w:tcPr>
            <w:tcW w:type="dxa" w:w="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R2</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Automated response action disputed</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Notification / Response Layer</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T1562 – Impair Defenses</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Immutable action log; every containment action logged before execution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Training run outcome disputed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MLflow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T1070 – Indicator Removal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MLflow captures all hyperparameters, dataset hashes, metrics per run</w:t>
            </w:r>
          </w:p>
        </w:tc>
      </w:tr>
    </w:tbl>
    <w:p>
      <w:pPr>
        <w:spacing w:after="240"/>
      </w:pPr>
    </w:p>
    <w:p>
      <w:pPr>
        <w:pStyle w:val="Heading2"/>
        <w:spacing w:after="120" w:before="240"/>
      </w:pPr>
      <w:r>
        <w:rPr>
          <w:rFonts w:ascii="Arial" w:cs="Arial" w:eastAsia="Arial" w:hAnsi="Arial"/>
          <w:b/>
          <w:bCs/>
          <w:color w:val="2E75B6"/>
          <w:sz w:val="26"/>
          <w:szCs w:val="26"/>
        </w:rPr>
        <w:t xml:space="preserve">I – Information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800"/>
        <w:gridCol w:w="2000"/>
        <w:gridCol w:w="2400"/>
      </w:tblGrid>
      <w:t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MITRE ATT&amp;CK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 inversion/membership inference extracts training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ML Detection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AML.T0024 – Infer Training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Prediction-only API; no raw probabilities or gradients exposed</w:t>
            </w:r>
          </w:p>
        </w:tc>
      </w:tr>
      <w:tr>
        <w:tc>
          <w:tcPr>
            <w:tcW w:type="dxa" w:w="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I2</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API response leaks internal system details (stack traces)</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FastAPI /detect</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T1592 – Gather Victim Host Info</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Structured error responses only; version header suppressed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Kafka topics readable by unauthorized internal services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Kafka Topics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T1040 – Network Sniffing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Kafka ACLs per topic; TLS in transit; separate consumer groups</w:t>
            </w:r>
          </w:p>
        </w:tc>
      </w:tr>
      <w:tr>
        <w:tc>
          <w:tcPr>
            <w:tcW w:type="dxa" w:w="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I4</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PostgreSQL credentials exposed in env vars or source code</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PostgreSQL</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T1552.001 – Credentials in Files</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Secrets via Docker secrets/Vault; never committed to Git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VirusTotal/Shodan API keys leaked via logs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Threat Enrichment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T1552 – Unsecured Credentials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keys from secrets manager; scrubbed from all log output</w:t>
            </w:r>
          </w:p>
        </w:tc>
      </w:tr>
    </w:tbl>
    <w:p>
      <w:pPr>
        <w:spacing w:after="240"/>
      </w:pPr>
    </w:p>
    <w:p>
      <w:pPr>
        <w:pStyle w:val="Heading2"/>
        <w:spacing w:after="120" w:before="240"/>
      </w:pPr>
      <w:r>
        <w:rPr>
          <w:rFonts w:ascii="Arial" w:cs="Arial" w:eastAsia="Arial" w:hAnsi="Arial"/>
          <w:b/>
          <w:bCs/>
          <w:color w:val="2E75B6"/>
          <w:sz w:val="26"/>
          <w:szCs w:val="26"/>
        </w:rPr>
        <w:t xml:space="preserve">D – Denial of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800"/>
        <w:gridCol w:w="2000"/>
        <w:gridCol w:w="2400"/>
      </w:tblGrid>
      <w:t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MITRE ATT&amp;CK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High-volume requests flood /detect endpoint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FastAPI /detect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T1499 – Endpoint DoS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Rate limiting per-IP/token; Prometheus latency monitoring; circuit breaker</w:t>
            </w:r>
          </w:p>
        </w:tc>
      </w:tr>
      <w:tr>
        <w:tc>
          <w:tcPr>
            <w:tcW w:type="dxa" w:w="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D2</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Kafka topic overwhelmed with crafted messages</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Kafka Topics</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T1498 – Network DoS</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Topic-level rate limits; consumer lag monitoring in Grafana</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Resource exhaustion via large PCAP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Feature Extractor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T1499.003 – Application Exhaustion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 file size at ingestion; async processing with backpressure</w:t>
            </w:r>
          </w:p>
        </w:tc>
      </w:tr>
      <w:tr>
        <w:tc>
          <w:tcPr>
            <w:tcW w:type="dxa" w:w="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D4</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CI/CD pipeline flooded via forged webhook events</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GitHub Actions</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T1195 – Supply Chain Compromise</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Webhook secret validation; GitHub Actions concurrency limits</w:t>
            </w:r>
          </w:p>
        </w:tc>
      </w:tr>
    </w:tbl>
    <w:p>
      <w:pPr>
        <w:spacing w:after="240"/>
      </w:pPr>
    </w:p>
    <w:p>
      <w:pPr>
        <w:pStyle w:val="Heading2"/>
        <w:spacing w:after="120" w:before="240"/>
      </w:pPr>
      <w:r>
        <w:rPr>
          <w:rFonts w:ascii="Arial" w:cs="Arial" w:eastAsia="Arial" w:hAnsi="Arial"/>
          <w:b/>
          <w:bCs/>
          <w:color w:val="2E75B6"/>
          <w:sz w:val="26"/>
          <w:szCs w:val="26"/>
        </w:rPr>
        <w:t xml:space="preserve">E – Elevation of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800"/>
        <w:gridCol w:w="2000"/>
        <w:gridCol w:w="2400"/>
      </w:tblGrid>
      <w:t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MITRE ATT&amp;CK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Model evasion: adversarial traffic bypasses ML detector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ML Detection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AML.T0015 – Evade ML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Adversarial retraining with IBM ART; ensemble rule+ML; confidence alerting</w:t>
            </w:r>
          </w:p>
        </w:tc>
      </w:tr>
      <w:tr>
        <w:tc>
          <w:tcPr>
            <w:tcW w:type="dxa" w:w="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E2</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FastAPI input validation failure → remote code execution</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FastAPI /detect</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T1190 – Exploit Public-Facing App</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Strict Pydantic input validation; no dynamic code execution; container isolation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Compromised SOC account escalates false containment 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Automated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T1078 – Valid Accounts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Least privilege; two-person approval for destructive containment actions</w:t>
            </w:r>
          </w:p>
        </w:tc>
      </w:tr>
      <w:tr>
        <w:tc>
          <w:tcPr>
            <w:tcW w:type="dxa" w:w="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E4</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Container escape from detection service to host</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Docker (FastAPI)</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T1611 – Escape to Host</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Non-root containers; read-only filesystem; seccomp/AppArmor profiles</w:t>
            </w:r>
          </w:p>
        </w:tc>
      </w:tr>
    </w:tbl>
    <w:p>
      <w:pPr>
        <w:spacing w:after="320"/>
      </w:pPr>
    </w:p>
    <w:p>
      <w:pPr>
        <w:pStyle w:val="Heading1"/>
        <w:spacing w:after="160" w:before="320"/>
      </w:pPr>
      <w:r>
        <w:rPr>
          <w:rFonts w:ascii="Arial" w:cs="Arial" w:eastAsia="Arial" w:hAnsi="Arial"/>
          <w:b/>
          <w:bCs/>
          <w:color w:val="1F3864"/>
          <w:sz w:val="32"/>
          <w:szCs w:val="32"/>
        </w:rPr>
        <w:t xml:space="preserve">3. AI-Specific Threats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 Type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Where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Poisoning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Training Pipeline / Kafka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Signed datasets, distribution monitoring, tamper-evident logs</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Model Evasion</w:t>
            </w:r>
          </w:p>
        </w:tc>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ML Detection Engine</w:t>
            </w:r>
          </w:p>
        </w:tc>
        <w:tc>
          <w:tcPr>
            <w:tcW w:type="dxa" w:w="4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Adversarial retraining, IBM ART, ensemble with rule 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Membership Inference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FastAPI /detect API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Prediction-only responses, rate limiting, no gradient exposure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Model Theft</w:t>
            </w:r>
          </w:p>
        </w:tc>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MLflow / Model Artifacts</w:t>
            </w:r>
          </w:p>
        </w:tc>
        <w:tc>
          <w:tcPr>
            <w:tcW w:type="dxa" w:w="4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Artifact signing, access control, no weights in API response</w:t>
            </w:r>
          </w:p>
        </w:tc>
      </w:tr>
    </w:tbl>
    <w:p>
      <w:pPr>
        <w:spacing w:after="320"/>
      </w:pPr>
    </w:p>
    <w:p>
      <w:pPr>
        <w:pStyle w:val="Heading1"/>
        <w:spacing w:after="160" w:before="320"/>
      </w:pPr>
      <w:r>
        <w:rPr>
          <w:rFonts w:ascii="Arial" w:cs="Arial" w:eastAsia="Arial" w:hAnsi="Arial"/>
          <w:b/>
          <w:bCs/>
          <w:color w:val="1F3864"/>
          <w:sz w:val="32"/>
          <w:szCs w:val="32"/>
        </w:rPr>
        <w:t xml:space="preserve">4. Architecture Decision Record (ADR)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2200"/>
        <w:gridCol w:w="19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Rejected Alternative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ADR-001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Kafka for Feature Transport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 Kafka topics to decouple pipeline stages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Backpressure, replay capability, fault isolation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Direct PostgreSQL writes — too tightly coupled</w:t>
            </w:r>
          </w:p>
        </w:tc>
      </w:tr>
      <w:tr>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ADR-002</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Rule Baseline Before ML</w:t>
            </w:r>
          </w:p>
        </w:tc>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Build Snort/Suricata baseline before ML training</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Establishes performance floor; ML must beat by ≥15% F1</w:t>
            </w:r>
          </w:p>
        </w:tc>
        <w:tc>
          <w:tcPr>
            <w:tcW w:type="dxa" w:w="1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Skip baseline — prevents meaningful comparison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ADR-003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Prediction-Only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 label + confidence band only, no raw scores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Reduces model inversion and membership inference risk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probability vector — too much adversarial info</w:t>
            </w:r>
          </w:p>
        </w:tc>
      </w:tr>
      <w:tr>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ADR-004</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IBM ART for Adversarial Testing</w:t>
            </w:r>
          </w:p>
        </w:tc>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Use ART for attack simulation and retraining</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Industry standard; integrates with sklearn/PyTorch</w:t>
            </w:r>
          </w:p>
        </w:tc>
        <w:tc>
          <w:tcPr>
            <w:tcW w:type="dxa" w:w="1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Custom attack scripts — less reproducible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ADR-005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Immutable Audit Logs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Append-only logs shipped to separate 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Prevents attacker from covering tracks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Single log store — single point of tampering</w:t>
            </w:r>
          </w:p>
        </w:tc>
      </w:tr>
      <w:tr>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ADR-006</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External APIs as Untrusted</w:t>
            </w:r>
          </w:p>
        </w:tc>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VirusTotal/Shodan responses validated before use</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External data can be manipulated; schema validation prevents injection</w:t>
            </w:r>
          </w:p>
        </w:tc>
        <w:tc>
          <w:tcPr>
            <w:tcW w:type="dxa" w:w="1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18"/>
                <w:szCs w:val="18"/>
              </w:rPr>
              <w:t xml:space="preserve">Trust external responses — unsafe assumption</w:t>
            </w:r>
          </w:p>
        </w:tc>
      </w:tr>
    </w:tbl>
    <w:p>
      <w:pPr>
        <w:spacing w:after="320"/>
      </w:pPr>
    </w:p>
    <w:p>
      <w:pPr>
        <w:pStyle w:val="Heading1"/>
        <w:spacing w:after="160" w:before="320"/>
      </w:pPr>
      <w:r>
        <w:rPr>
          <w:rFonts w:ascii="Arial" w:cs="Arial" w:eastAsia="Arial" w:hAnsi="Arial"/>
          <w:b/>
          <w:bCs/>
          <w:color w:val="1F3864"/>
          <w:sz w:val="32"/>
          <w:szCs w:val="32"/>
        </w:rPr>
        <w:t xml:space="preserve">5. MITRE ATT&amp;CK Navigator Techniques</w:t>
      </w:r>
    </w:p>
    <w:p>
      <w:pPr>
        <w:spacing w:after="100"/>
      </w:pPr>
      <w:r>
        <w:rPr>
          <w:rFonts w:ascii="Arial" w:cs="Arial" w:eastAsia="Arial" w:hAnsi="Arial"/>
          <w:b w:val="false"/>
          <w:bCs w:val="false"/>
          <w:color w:val="000000"/>
          <w:sz w:val="22"/>
          <w:szCs w:val="22"/>
        </w:rPr>
        <w:t xml:space="preserve">The following techniques are covered and should be imported into MITRE ATT&amp;CK Navigator:</w:t>
      </w:r>
    </w:p>
    <w:p>
      <w:pPr>
        <w:spacing w:after="100"/>
      </w:pPr>
      <w:r>
        <w:rPr>
          <w:rFonts w:ascii="Arial" w:cs="Arial" w:eastAsia="Arial" w:hAnsi="Arial"/>
          <w:b w:val="false"/>
          <w:bCs w:val="false"/>
          <w:color w:val="000000"/>
          <w:sz w:val="22"/>
          <w:szCs w:val="22"/>
        </w:rPr>
        <w:t xml:space="preserve">Enterprise: T1001, T1040, T1070, T1078, T1078.004, T1190, T1195, T1498, T1499, T1499.003, T1552, T1552.001, T1562, T1562.006, T1565, T1565.001, T1565.003, T1584, T1592, T1600, T1611</w:t>
      </w:r>
    </w:p>
    <w:p>
      <w:pPr>
        <w:spacing w:after="100"/>
      </w:pPr>
      <w:r>
        <w:rPr>
          <w:rFonts w:ascii="Arial" w:cs="Arial" w:eastAsia="Arial" w:hAnsi="Arial"/>
          <w:b w:val="false"/>
          <w:bCs w:val="false"/>
          <w:color w:val="000000"/>
          <w:sz w:val="22"/>
          <w:szCs w:val="22"/>
        </w:rPr>
        <w:t xml:space="preserve">AI/ML (MITRE ATLAS): AML.T0015 – Evade ML Model, AML.T0020 – Poison Training Data, AML.T0024 – Infer Training Data</w:t>
      </w:r>
    </w:p>
    <w:p>
      <w:pPr>
        <w:spacing w:after="480"/>
      </w:pPr>
    </w:p>
    <w:p>
      <w:pPr>
        <w:pBdr>
          <w:top w:val="single" w:color="1F3864" w:sz="6" w:space="1"/>
        </w:pBdr>
        <w:spacing w:after="80" w:before="240"/>
        <w:jc w:val="center"/>
      </w:pPr>
      <w:r>
        <w:rPr>
          <w:rFonts w:ascii="Arial" w:cs="Arial" w:eastAsia="Arial" w:hAnsi="Arial"/>
          <w:i/>
          <w:iCs/>
          <w:color w:val="999999"/>
          <w:sz w:val="18"/>
          <w:szCs w:val="18"/>
        </w:rPr>
        <w:t xml:space="preserve">SecOpsAI Platform | STRIDE Threat Model | Expadox Lab – Do not share outside the program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2026-06-21T17:59:21.197Z</dcterms:created>
  <dcterms:modified xsi:type="dcterms:W3CDTF">2026-06-21T17:59:21.198Z</dcterms:modified>
</cp:coreProperties>
</file>

<file path=docProps/custom.xml><?xml version="1.0" encoding="utf-8"?>
<Properties xmlns="http://schemas.openxmlformats.org/officeDocument/2006/custom-properties" xmlns:vt="http://schemas.openxmlformats.org/officeDocument/2006/docPropsVTypes"/>
</file>