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3E825">
      <w:pPr>
        <w:jc w:val="center"/>
      </w:pPr>
      <w:r>
        <w:rPr>
          <w:b/>
          <w:sz w:val="52"/>
        </w:rPr>
        <w:br w:type="textWrapping"/>
      </w:r>
      <w:r>
        <w:rPr>
          <w:b/>
          <w:sz w:val="52"/>
        </w:rPr>
        <w:t>AQUAROS PLUS</w:t>
      </w:r>
    </w:p>
    <w:p w14:paraId="4C2AA345">
      <w:pPr>
        <w:jc w:val="center"/>
      </w:pPr>
      <w:r>
        <w:rPr>
          <w:b/>
          <w:sz w:val="30"/>
        </w:rPr>
        <w:t>Content-Aware Priority Scheduling for Underwater Acoustic Sensor Networks</w:t>
      </w:r>
    </w:p>
    <w:p w14:paraId="41CE60CB">
      <w:pPr>
        <w:jc w:val="center"/>
      </w:pPr>
      <w:bookmarkStart w:id="0" w:name="_GoBack"/>
      <w:bookmarkEnd w:id="0"/>
      <w:r>
        <w:br w:type="textWrapping"/>
      </w:r>
      <w:r>
        <w:t>Project Report</w:t>
      </w:r>
      <w:r>
        <w:br w:type="textWrapping"/>
      </w:r>
      <w:r>
        <w:t>Software simulation and interactive prototype</w:t>
      </w:r>
    </w:p>
    <w:p w14:paraId="76D4FC1A">
      <w:r>
        <w:br w:type="textWrapping"/>
      </w:r>
    </w:p>
    <w:p w14:paraId="7AB0DB7D">
      <w:pPr>
        <w:jc w:val="center"/>
      </w:pPr>
      <w:r>
        <w:t>Repository: https://github.com/SecilieaJJ11/AQUAROS-PLUS.git</w:t>
      </w:r>
    </w:p>
    <w:p w14:paraId="2458930B">
      <w:r>
        <w:br w:type="page"/>
      </w:r>
    </w:p>
    <w:p w14:paraId="60C34B7D">
      <w:pPr>
        <w:pStyle w:val="2"/>
        <w:rPr>
          <w:color w:val="auto"/>
        </w:rPr>
      </w:pPr>
      <w:r>
        <w:rPr>
          <w:color w:val="auto"/>
        </w:rPr>
        <w:t>Abstract</w:t>
      </w:r>
    </w:p>
    <w:p w14:paraId="3E82B055">
      <w:pPr>
        <w:rPr>
          <w:color w:val="auto"/>
        </w:rPr>
      </w:pPr>
      <w:r>
        <w:rPr>
          <w:color w:val="auto"/>
        </w:rPr>
        <w:t>Underwater acoustic sensor networks operate with limited bandwidth, high communication latency, and intermittent links. Sensor readings may need to remain buffered until a communication window becomes available, and only a limited number of messages can be transmitted in each window. In a static-priority system, a message receives its priority from its sensor type, even when its value indicates a serious anomaly. AQUAROS PLUS addresses this limitation by adding a lightweight content-aware scoring layer before the existing priority queue. Readings within their configured normal range retain their base priority, while out-of-range readings receive a severity-based boost capped at priority 10. A Python simulation, browser-based demonstration, automated tests, and a written report were developed. Across 40 random seeds, the simulation reported average anomaly latency of 0.22 windows for AQUAROS PLUS compared with 10.86 windows for static priority, and 99.9% of anomalies were sent within three windows compared with 52.6% for the baseline. The work remains simulation-only; live ros_acomms integration and physical testing are future steps.</w:t>
      </w:r>
    </w:p>
    <w:p w14:paraId="186E7475">
      <w:pPr>
        <w:pStyle w:val="3"/>
        <w:rPr>
          <w:color w:val="auto"/>
        </w:rPr>
      </w:pPr>
      <w:r>
        <w:rPr>
          <w:color w:val="auto"/>
        </w:rPr>
        <w:t>Keywords</w:t>
      </w:r>
    </w:p>
    <w:p w14:paraId="48AA1169">
      <w:pPr>
        <w:rPr>
          <w:color w:val="auto"/>
        </w:rPr>
      </w:pPr>
      <w:r>
        <w:rPr>
          <w:color w:val="auto"/>
        </w:rPr>
        <w:t>Underwater acoustic sensor networks, content-aware priority, anomaly scheduling, ros_acomms, simulation</w:t>
      </w:r>
    </w:p>
    <w:p w14:paraId="14244908">
      <w:pPr>
        <w:pStyle w:val="2"/>
        <w:rPr>
          <w:color w:val="auto"/>
        </w:rPr>
      </w:pPr>
      <w:r>
        <w:rPr>
          <w:color w:val="auto"/>
        </w:rPr>
        <w:t>1. Introduction</w:t>
      </w:r>
    </w:p>
    <w:p w14:paraId="2AAF321A">
      <w:pPr>
        <w:rPr>
          <w:color w:val="auto"/>
        </w:rPr>
      </w:pPr>
      <w:r>
        <w:rPr>
          <w:color w:val="auto"/>
        </w:rPr>
        <w:t>Underwater sensor nodes can collect measurements such as pressure, temperature, and hydrophone readings. These readings are communicated over acoustic links, where bandwidth is limited and connectivity may be interrupted. During a link outage, nodes may buffer messages and transmit them when a communication window opens. Since each window has limited capacity, the order in which messages are sent can affect how quickly important information reaches the sink.</w:t>
      </w:r>
    </w:p>
    <w:p w14:paraId="05AA41C3">
      <w:pPr>
        <w:rPr>
          <w:color w:val="auto"/>
        </w:rPr>
      </w:pPr>
      <w:r>
        <w:rPr>
          <w:color w:val="auto"/>
        </w:rPr>
        <w:t>AQUAROS PLUS is designed to make message priority reflect both the sensor type and the actual reading. It is an additional intelligence layer placed before the existing priority queue. It does not aim to replace the communication stack or redesign the queue, medium access control (MAC), or modem interface.</w:t>
      </w:r>
    </w:p>
    <w:p w14:paraId="765DDFF5">
      <w:pPr>
        <w:pStyle w:val="2"/>
        <w:rPr>
          <w:color w:val="auto"/>
        </w:rPr>
      </w:pPr>
      <w:r>
        <w:rPr>
          <w:color w:val="auto"/>
        </w:rPr>
        <w:t>2. Problem Statement</w:t>
      </w:r>
    </w:p>
    <w:p w14:paraId="7BA8A674">
      <w:pPr>
        <w:rPr>
          <w:color w:val="auto"/>
        </w:rPr>
      </w:pPr>
      <w:r>
        <w:rPr>
          <w:color w:val="auto"/>
        </w:rPr>
        <w:t>The existing static-priority approach assigns a fixed rank to each sensor type. For example, hydrophone messages may have base priority 8, while temperature and pressure messages may have base priority 2. The measured value is not considered when assigning priority. As a result, a normal pressure reading of 6 bar and a potentially serious reading of 40 bar can receive the same base priority. Under limited window capacity, routine messages from a structurally higher-ranked sensor type may be sent first, leaving a critical anomaly waiting across multiple windows.</w:t>
      </w:r>
    </w:p>
    <w:p w14:paraId="620DFE63">
      <w:pPr>
        <w:pStyle w:val="3"/>
        <w:rPr>
          <w:color w:val="auto"/>
        </w:rPr>
      </w:pPr>
      <w:r>
        <w:rPr>
          <w:color w:val="auto"/>
        </w:rPr>
        <w:t>2.1 Limitations of the Existing Approach</w:t>
      </w:r>
    </w:p>
    <w:p w14:paraId="212925BC">
      <w:pPr>
        <w:pStyle w:val="23"/>
        <w:rPr>
          <w:color w:val="auto"/>
        </w:rPr>
      </w:pPr>
      <w:r>
        <w:rPr>
          <w:color w:val="auto"/>
        </w:rPr>
        <w:t>Static assignment: priority is determined by sensor type rather than the current reading.</w:t>
      </w:r>
    </w:p>
    <w:p w14:paraId="27830ED5">
      <w:pPr>
        <w:pStyle w:val="23"/>
        <w:rPr>
          <w:color w:val="auto"/>
        </w:rPr>
      </w:pPr>
      <w:r>
        <w:rPr>
          <w:color w:val="auto"/>
        </w:rPr>
        <w:t>No severity awareness: normal and abnormal readings from the same sensor type can receive identical priority.</w:t>
      </w:r>
    </w:p>
    <w:p w14:paraId="6F6A05C4">
      <w:pPr>
        <w:pStyle w:val="23"/>
        <w:rPr>
          <w:color w:val="auto"/>
        </w:rPr>
      </w:pPr>
      <w:r>
        <w:rPr>
          <w:color w:val="auto"/>
        </w:rPr>
        <w:t>Limited window capacity: routine messages can consume transmission opportunities while anomalies remain buffered.</w:t>
      </w:r>
    </w:p>
    <w:p w14:paraId="6C60773E">
      <w:pPr>
        <w:pStyle w:val="23"/>
        <w:rPr>
          <w:color w:val="auto"/>
        </w:rPr>
      </w:pPr>
      <w:r>
        <w:rPr>
          <w:color w:val="auto"/>
        </w:rPr>
        <w:t>Manual tuning: priority tables must be configured for each deployment and do not adapt to the severity of a reading.</w:t>
      </w:r>
    </w:p>
    <w:p w14:paraId="5D6B412A">
      <w:pPr>
        <w:pStyle w:val="2"/>
        <w:rPr>
          <w:color w:val="auto"/>
        </w:rPr>
      </w:pPr>
      <w:r>
        <w:rPr>
          <w:color w:val="auto"/>
        </w:rPr>
        <w:t>3. Related Work and Research Gap</w:t>
      </w:r>
    </w:p>
    <w:p w14:paraId="45D28C47">
      <w:pPr>
        <w:rPr>
          <w:color w:val="auto"/>
        </w:rPr>
      </w:pPr>
      <w:r>
        <w:rPr>
          <w:color w:val="auto"/>
        </w:rPr>
        <w:t>Recent underwater-network research addresses packet scheduling, queue management, routing, energy efficiency, and delay. Caroline Mary, Senthil Kumar, and Saleh (2024) describe an active-priority and QLS-based energy-efficient backpressure approach focused on queue-layer scheduling and energy-aware handling. Ismail et al. (2023) present SHEEP, a routing protocol that considers shifted energy efficiency and priority when selecting routes. These works provide relevant approaches for queue management and routing, respectively.</w:t>
      </w:r>
    </w:p>
    <w:p w14:paraId="18567295">
      <w:pPr>
        <w:rPr>
          <w:color w:val="auto"/>
        </w:rPr>
      </w:pPr>
      <w:r>
        <w:rPr>
          <w:color w:val="auto"/>
        </w:rPr>
        <w:t>The gap targeted by AQUAROS PLUS is the assignment of urgency from the content of an individual sensor reading. Rather than replacing queue or routing techniques, AQUAROS PLUS computes a content-aware priority value that can be passed into an existing priority-queue interface. In the integrated simulation, the QLS and SHEEP components are simplified models inspired by the cited work; they are not exact re-implementations of the published algorithms.</w:t>
      </w:r>
    </w:p>
    <w:p w14:paraId="4E246794">
      <w:pPr>
        <w:pStyle w:val="2"/>
        <w:rPr>
          <w:color w:val="auto"/>
        </w:rPr>
      </w:pPr>
      <w:r>
        <w:rPr>
          <w:color w:val="auto"/>
        </w:rPr>
        <w:t>4. Proposed Solution</w:t>
      </w:r>
    </w:p>
    <w:p w14:paraId="4548D95F">
      <w:pPr>
        <w:rPr>
          <w:color w:val="auto"/>
        </w:rPr>
      </w:pPr>
      <w:r>
        <w:rPr>
          <w:color w:val="auto"/>
        </w:rPr>
        <w:t>AQUAROS PLUS checks each reading against the configured normal operating range for its sensor type before the reading enters the priority queue. If the value is within range, the original base priority is retained. If the value is outside the range, the system calculates a normalized deviation and applies a severity boost. The final priority is capped at 10. The updated score is passed to the existing priority-queue input, while downstream queue ordering, MAC, and modem logic remain unchanged.</w:t>
      </w:r>
    </w:p>
    <w:p w14:paraId="7EE834FD">
      <w:pPr>
        <w:pStyle w:val="3"/>
        <w:rPr>
          <w:color w:val="auto"/>
        </w:rPr>
      </w:pPr>
      <w:r>
        <w:rPr>
          <w:color w:val="auto"/>
        </w:rPr>
        <w:t>4.1 Message Workflow</w:t>
      </w:r>
    </w:p>
    <w:p w14:paraId="71DC9DD4">
      <w:pPr>
        <w:pStyle w:val="29"/>
        <w:rPr>
          <w:color w:val="auto"/>
        </w:rPr>
      </w:pPr>
      <w:r>
        <w:rPr>
          <w:color w:val="auto"/>
        </w:rPr>
        <w:t>A sensor produces a reading.</w:t>
      </w:r>
    </w:p>
    <w:p w14:paraId="0CD162FA">
      <w:pPr>
        <w:pStyle w:val="29"/>
        <w:rPr>
          <w:color w:val="auto"/>
        </w:rPr>
      </w:pPr>
      <w:r>
        <w:rPr>
          <w:color w:val="auto"/>
        </w:rPr>
        <w:t>The reading is compared with the configured normal range for its sensor type.</w:t>
      </w:r>
    </w:p>
    <w:p w14:paraId="2947CACE">
      <w:pPr>
        <w:pStyle w:val="29"/>
        <w:rPr>
          <w:color w:val="auto"/>
        </w:rPr>
      </w:pPr>
      <w:r>
        <w:rPr>
          <w:color w:val="auto"/>
        </w:rPr>
        <w:t>An in-range reading retains its base priority.</w:t>
      </w:r>
    </w:p>
    <w:p w14:paraId="30C5346E">
      <w:pPr>
        <w:pStyle w:val="29"/>
        <w:rPr>
          <w:color w:val="auto"/>
        </w:rPr>
      </w:pPr>
      <w:r>
        <w:rPr>
          <w:color w:val="auto"/>
        </w:rPr>
        <w:t>An out-of-range reading receives a deviation-based severity boost.</w:t>
      </w:r>
    </w:p>
    <w:p w14:paraId="22F7A8B5">
      <w:pPr>
        <w:pStyle w:val="29"/>
        <w:rPr>
          <w:color w:val="auto"/>
        </w:rPr>
      </w:pPr>
      <w:r>
        <w:rPr>
          <w:color w:val="auto"/>
        </w:rPr>
        <w:t>The updated score is supplied to the existing priority queue.</w:t>
      </w:r>
    </w:p>
    <w:p w14:paraId="10932CC9">
      <w:pPr>
        <w:pStyle w:val="29"/>
        <w:rPr>
          <w:color w:val="auto"/>
        </w:rPr>
      </w:pPr>
      <w:r>
        <w:rPr>
          <w:color w:val="auto"/>
        </w:rPr>
        <w:t>When a communication window opens, the highest-scoring messages are selected up to the available capacity.</w:t>
      </w:r>
    </w:p>
    <w:p w14:paraId="35BE9D76">
      <w:pPr>
        <w:pStyle w:val="2"/>
        <w:rPr>
          <w:color w:val="auto"/>
        </w:rPr>
      </w:pPr>
      <w:r>
        <w:rPr>
          <w:color w:val="auto"/>
        </w:rPr>
        <w:t>5. Algorithm</w:t>
      </w:r>
    </w:p>
    <w:p w14:paraId="7B699A59">
      <w:pPr>
        <w:rPr>
          <w:color w:val="auto"/>
        </w:rPr>
      </w:pPr>
      <w:r>
        <w:rPr>
          <w:color w:val="auto"/>
        </w:rPr>
        <w:t>Let base be the static priority for the sensor type, and let [low, high] be its configured normal range.</w:t>
      </w:r>
    </w:p>
    <w:p w14:paraId="519659C3">
      <w:pPr>
        <w:ind w:left="360"/>
        <w:rPr>
          <w:color w:val="auto"/>
        </w:rPr>
      </w:pPr>
      <w:r>
        <w:rPr>
          <w:b/>
          <w:color w:val="auto"/>
        </w:rPr>
        <w:t>If low ≤ value ≤ high:</w:t>
      </w:r>
      <w:r>
        <w:rPr>
          <w:b/>
          <w:color w:val="auto"/>
        </w:rPr>
        <w:br w:type="textWrapping"/>
      </w:r>
      <w:r>
        <w:rPr>
          <w:color w:val="auto"/>
        </w:rPr>
        <w:t xml:space="preserve">    score = base_priority</w:t>
      </w:r>
      <w:r>
        <w:rPr>
          <w:color w:val="auto"/>
        </w:rPr>
        <w:br w:type="textWrapping"/>
      </w:r>
      <w:r>
        <w:rPr>
          <w:color w:val="auto"/>
        </w:rPr>
        <w:br w:type="textWrapping"/>
      </w:r>
      <w:r>
        <w:rPr>
          <w:b/>
          <w:color w:val="auto"/>
        </w:rPr>
        <w:t>Otherwise:</w:t>
      </w:r>
      <w:r>
        <w:rPr>
          <w:b/>
          <w:color w:val="auto"/>
        </w:rPr>
        <w:br w:type="textWrapping"/>
      </w:r>
      <w:r>
        <w:rPr>
          <w:color w:val="auto"/>
        </w:rPr>
        <w:t xml:space="preserve">    deviation = max(low − value, value − high) / (high − low)</w:t>
      </w:r>
      <w:r>
        <w:rPr>
          <w:color w:val="auto"/>
        </w:rPr>
        <w:br w:type="textWrapping"/>
      </w:r>
      <w:r>
        <w:rPr>
          <w:color w:val="auto"/>
        </w:rPr>
        <w:t xml:space="preserve">    boost = min(10 − base, 6 + 4 × deviation)</w:t>
      </w:r>
      <w:r>
        <w:rPr>
          <w:color w:val="auto"/>
        </w:rPr>
        <w:br w:type="textWrapping"/>
      </w:r>
      <w:r>
        <w:rPr>
          <w:color w:val="auto"/>
        </w:rPr>
        <w:t xml:space="preserve">    score = min(10, base + boost)</w:t>
      </w:r>
    </w:p>
    <w:p w14:paraId="46185B8F">
      <w:pPr>
        <w:rPr>
          <w:color w:val="auto"/>
        </w:rPr>
      </w:pPr>
      <w:r>
        <w:rPr>
          <w:color w:val="auto"/>
        </w:rPr>
        <w:t>The scoring operation takes O(1) time per reading because it uses a fixed number of comparisons and arithmetic operations. Ordering n buffered messages with a comparison sort takes O(n log n). Selecting the messages for a window then takes O(capacity) after sorting.</w:t>
      </w:r>
    </w:p>
    <w:p w14:paraId="4BB0EFA0">
      <w:pPr>
        <w:pStyle w:val="3"/>
        <w:rPr>
          <w:color w:val="auto"/>
        </w:rPr>
      </w:pPr>
      <w:r>
        <w:rPr>
          <w:color w:val="auto"/>
        </w:rPr>
        <w:t>5.1 Example</w:t>
      </w:r>
    </w:p>
    <w:p w14:paraId="587E94F9">
      <w:pPr>
        <w:rPr>
          <w:color w:val="auto"/>
        </w:rPr>
      </w:pPr>
      <w:r>
        <w:rPr>
          <w:color w:val="auto"/>
        </w:rPr>
        <w:t>For the example shown in the presentation, the pressure range is 0–10 bar and the base priority is 2. A reading of 6 bar is within range and keeps priority 2. A reading of 12 bar is outside the range and receives priority 8.8 in the example. A reading of 40 bar is treated as a severe anomaly and reaches the priority cap of 10.</w:t>
      </w:r>
    </w:p>
    <w:p w14:paraId="710822B8">
      <w:pPr>
        <w:pStyle w:val="2"/>
        <w:rPr>
          <w:color w:val="auto"/>
        </w:rPr>
      </w:pPr>
      <w:r>
        <w:rPr>
          <w:color w:val="auto"/>
        </w:rPr>
        <w:t>6. Integrated Architecture</w:t>
      </w:r>
    </w:p>
    <w:p w14:paraId="55648CEC">
      <w:pPr>
        <w:rPr>
          <w:color w:val="auto"/>
        </w:rPr>
      </w:pPr>
      <w:r>
        <w:rPr>
          <w:color w:val="auto"/>
        </w:rPr>
        <w:t>The simulated message path is: sensor nodes → SHEEP-inspired routing → AQUAROS PLUS content scoring → QLS-inspired queue and energy management → ros_acomms MAC and modem interface → sink.</w:t>
      </w:r>
    </w:p>
    <w:p w14:paraId="5C4E20A4">
      <w:pPr>
        <w:pStyle w:val="23"/>
        <w:rPr>
          <w:color w:val="auto"/>
        </w:rPr>
      </w:pPr>
      <w:r>
        <w:rPr>
          <w:color w:val="auto"/>
        </w:rPr>
        <w:t>SHEEP-inspired routing: chooses a relay based on residual energy in the simulation.</w:t>
      </w:r>
    </w:p>
    <w:p w14:paraId="30792DAB">
      <w:pPr>
        <w:pStyle w:val="23"/>
        <w:rPr>
          <w:color w:val="auto"/>
        </w:rPr>
      </w:pPr>
      <w:r>
        <w:rPr>
          <w:color w:val="auto"/>
        </w:rPr>
        <w:t>AQUAROS PLUS: evaluates the sensor reading and adjusts its priority.</w:t>
      </w:r>
    </w:p>
    <w:p w14:paraId="1F564D29">
      <w:pPr>
        <w:pStyle w:val="23"/>
        <w:rPr>
          <w:color w:val="auto"/>
        </w:rPr>
      </w:pPr>
      <w:r>
        <w:rPr>
          <w:color w:val="auto"/>
        </w:rPr>
        <w:t>QLS-inspired queue management: represents queue and energy management.</w:t>
      </w:r>
    </w:p>
    <w:p w14:paraId="5EFB7E8A">
      <w:pPr>
        <w:pStyle w:val="23"/>
        <w:rPr>
          <w:color w:val="auto"/>
        </w:rPr>
      </w:pPr>
      <w:r>
        <w:rPr>
          <w:color w:val="auto"/>
        </w:rPr>
        <w:t>ros_acomms: represents the existing communication, MAC, and modem interface.</w:t>
      </w:r>
    </w:p>
    <w:p w14:paraId="0F6014A4">
      <w:pPr>
        <w:rPr>
          <w:color w:val="auto"/>
        </w:rPr>
      </w:pPr>
      <w:r>
        <w:rPr>
          <w:color w:val="auto"/>
        </w:rPr>
        <w:t>This architecture is a conceptual and simulated integration path. The QLS and SHEEP elements are simplified inspired-by models, and the ROS wrapper node has been written but not tested.</w:t>
      </w:r>
    </w:p>
    <w:p w14:paraId="261918C9">
      <w:pPr>
        <w:pStyle w:val="2"/>
        <w:rPr>
          <w:color w:val="auto"/>
        </w:rPr>
      </w:pPr>
      <w:r>
        <w:rPr>
          <w:color w:val="auto"/>
        </w:rPr>
        <w:t>7. Implementation and Simulation Setup</w:t>
      </w:r>
    </w:p>
    <w:p w14:paraId="27CD123D">
      <w:pPr>
        <w:rPr>
          <w:color w:val="auto"/>
        </w:rPr>
      </w:pPr>
      <w:r>
        <w:rPr>
          <w:color w:val="auto"/>
        </w:rPr>
        <w:t>The project includes the following software artifacts:</w:t>
      </w:r>
    </w:p>
    <w:p w14:paraId="34D1D4D1">
      <w:pPr>
        <w:pStyle w:val="23"/>
        <w:rPr>
          <w:color w:val="auto"/>
        </w:rPr>
      </w:pPr>
      <w:r>
        <w:rPr>
          <w:color w:val="auto"/>
        </w:rPr>
        <w:t>aquaros_project.py: priority algorithm, two-hop network simulation, and evaluation metrics.</w:t>
      </w:r>
    </w:p>
    <w:p w14:paraId="121D9D91">
      <w:pPr>
        <w:pStyle w:val="23"/>
        <w:rPr>
          <w:color w:val="auto"/>
        </w:rPr>
      </w:pPr>
      <w:r>
        <w:rPr>
          <w:color w:val="auto"/>
        </w:rPr>
        <w:t>aquaros_plus_demo.html: interactive browser demo with two queues, capacity-limited communication windows, live reading injection, and auto-demo mode.</w:t>
      </w:r>
    </w:p>
    <w:p w14:paraId="3EBA86BD">
      <w:pPr>
        <w:pStyle w:val="23"/>
        <w:rPr>
          <w:color w:val="auto"/>
        </w:rPr>
      </w:pPr>
      <w:r>
        <w:rPr>
          <w:color w:val="auto"/>
        </w:rPr>
        <w:t>Seven automated tests.</w:t>
      </w:r>
    </w:p>
    <w:p w14:paraId="3D1E4B14">
      <w:pPr>
        <w:pStyle w:val="23"/>
        <w:rPr>
          <w:color w:val="auto"/>
        </w:rPr>
      </w:pPr>
      <w:r>
        <w:rPr>
          <w:color w:val="auto"/>
        </w:rPr>
        <w:t>A ROS wrapper node, written but not tested.</w:t>
      </w:r>
    </w:p>
    <w:p w14:paraId="30D3E2EA">
      <w:pPr>
        <w:pStyle w:val="23"/>
        <w:rPr>
          <w:color w:val="auto"/>
        </w:rPr>
      </w:pPr>
      <w:r>
        <w:rPr>
          <w:color w:val="auto"/>
        </w:rPr>
        <w:t>results/results.csv and results/summary.png containing experiment outputs.</w:t>
      </w:r>
    </w:p>
    <w:p w14:paraId="519C3453">
      <w:pPr>
        <w:pStyle w:val="23"/>
        <w:rPr>
          <w:color w:val="auto"/>
        </w:rPr>
      </w:pPr>
      <w:r>
        <w:rPr>
          <w:color w:val="auto"/>
        </w:rPr>
        <w:t>AQUAROS PLUS project documentation.</w:t>
      </w:r>
    </w:p>
    <w:p w14:paraId="67086821">
      <w:pPr>
        <w:rPr>
          <w:color w:val="auto"/>
        </w:rPr>
      </w:pPr>
      <w:r>
        <w:rPr>
          <w:color w:val="auto"/>
        </w:rPr>
        <w:t>The simulation configuration was:</w:t>
      </w:r>
    </w:p>
    <w:p w14:paraId="4E313B24">
      <w:pPr>
        <w:pStyle w:val="23"/>
        <w:rPr>
          <w:color w:val="auto"/>
        </w:rPr>
      </w:pPr>
      <w:r>
        <w:rPr>
          <w:color w:val="auto"/>
        </w:rPr>
        <w:t>Network topology: 6 sensor nodes, 2 relay nodes, and 1 sink.</w:t>
      </w:r>
    </w:p>
    <w:p w14:paraId="7AD82AC4">
      <w:pPr>
        <w:pStyle w:val="23"/>
        <w:rPr>
          <w:color w:val="auto"/>
        </w:rPr>
      </w:pPr>
      <w:r>
        <w:rPr>
          <w:color w:val="auto"/>
        </w:rPr>
        <w:t>Each sensor generates 4 readings per communication window and can send 4 messages.</w:t>
      </w:r>
    </w:p>
    <w:p w14:paraId="0C3C57FF">
      <w:pPr>
        <w:pStyle w:val="23"/>
        <w:rPr>
          <w:color w:val="auto"/>
        </w:rPr>
      </w:pPr>
      <w:r>
        <w:rPr>
          <w:color w:val="auto"/>
        </w:rPr>
        <w:t>Each relay can forward 12 messages per window.</w:t>
      </w:r>
    </w:p>
    <w:p w14:paraId="697F782E">
      <w:pPr>
        <w:pStyle w:val="23"/>
        <w:rPr>
          <w:color w:val="auto"/>
        </w:rPr>
      </w:pPr>
      <w:r>
        <w:rPr>
          <w:color w:val="auto"/>
        </w:rPr>
        <w:t>Transmission loss probability: 10%.</w:t>
      </w:r>
    </w:p>
    <w:p w14:paraId="70D16E2C">
      <w:pPr>
        <w:pStyle w:val="23"/>
        <w:rPr>
          <w:color w:val="auto"/>
        </w:rPr>
      </w:pPr>
      <w:r>
        <w:rPr>
          <w:color w:val="auto"/>
        </w:rPr>
        <w:t>Anomaly probability: 3% per reading.</w:t>
      </w:r>
    </w:p>
    <w:p w14:paraId="31053F8D">
      <w:pPr>
        <w:pStyle w:val="23"/>
        <w:rPr>
          <w:color w:val="auto"/>
        </w:rPr>
      </w:pPr>
      <w:r>
        <w:rPr>
          <w:color w:val="auto"/>
        </w:rPr>
        <w:t>Each run contains 200 communication windows.</w:t>
      </w:r>
    </w:p>
    <w:p w14:paraId="4315898A">
      <w:pPr>
        <w:pStyle w:val="23"/>
        <w:rPr>
          <w:color w:val="auto"/>
        </w:rPr>
      </w:pPr>
      <w:r>
        <w:rPr>
          <w:color w:val="auto"/>
        </w:rPr>
        <w:t>Results are averaged over 40 random seeds.</w:t>
      </w:r>
    </w:p>
    <w:p w14:paraId="6636DB1E">
      <w:pPr>
        <w:pStyle w:val="23"/>
        <w:rPr>
          <w:color w:val="auto"/>
        </w:rPr>
      </w:pPr>
      <w:r>
        <w:rPr>
          <w:color w:val="auto"/>
        </w:rPr>
        <w:t>Relay selection is based on residual energy using the SHEEP-inspired model.</w:t>
      </w:r>
    </w:p>
    <w:p w14:paraId="6EBCB643">
      <w:pPr>
        <w:pStyle w:val="2"/>
        <w:rPr>
          <w:color w:val="auto"/>
        </w:rPr>
      </w:pPr>
      <w:r>
        <w:rPr>
          <w:color w:val="auto"/>
        </w:rPr>
        <w:t>8. Results and Discussion</w:t>
      </w:r>
    </w:p>
    <w:p w14:paraId="5A71E2C7">
      <w:pPr>
        <w:rPr>
          <w:color w:val="auto"/>
        </w:rPr>
      </w:pPr>
      <w:r>
        <w:rPr>
          <w:color w:val="auto"/>
        </w:rPr>
        <w:t>The following results are the averages reported across 40 random seeds. A communication window is a scheduling unit and is not equivalent to a fixed number of seconds.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2448"/>
        <w:gridCol w:w="2448"/>
        <w:gridCol w:w="2448"/>
      </w:tblGrid>
      <w:tr w14:paraId="307AB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000000" w:sz="4" w:space="0"/>
              <w:left w:val="nil"/>
              <w:bottom w:val="single" w:color="000000" w:sz="4" w:space="0"/>
              <w:right w:val="nil"/>
              <w:tl2br w:val="nil"/>
            </w:tcBorders>
            <w:shd w:val="clear" w:color="auto" w:fill="FFFFFF"/>
            <w:vAlign w:val="center"/>
          </w:tcPr>
          <w:p w14:paraId="610E7C78">
            <w:pPr>
              <w:spacing w:line="240" w:lineRule="auto"/>
              <w:rPr>
                <w:b w:val="0"/>
                <w:color w:val="000000"/>
              </w:rPr>
            </w:pPr>
            <w:r>
              <w:rPr>
                <w:rFonts w:ascii="Arial" w:hAnsi="Arial"/>
                <w:b w:val="0"/>
                <w:color w:val="000000"/>
                <w:sz w:val="18"/>
              </w:rPr>
              <w:t>System</w:t>
            </w:r>
          </w:p>
        </w:tc>
        <w:tc>
          <w:tcPr>
            <w:tcW w:w="2448" w:type="dxa"/>
            <w:tcBorders>
              <w:top w:val="single" w:color="000000" w:sz="4" w:space="0"/>
              <w:left w:val="nil"/>
              <w:bottom w:val="single" w:color="000000" w:sz="4" w:space="0"/>
              <w:right w:val="nil"/>
            </w:tcBorders>
            <w:shd w:val="clear" w:color="auto" w:fill="FFFFFF"/>
            <w:vAlign w:val="center"/>
          </w:tcPr>
          <w:p w14:paraId="08CFD175">
            <w:pPr>
              <w:spacing w:line="240" w:lineRule="auto"/>
              <w:rPr>
                <w:b w:val="0"/>
                <w:color w:val="000000"/>
              </w:rPr>
            </w:pPr>
            <w:r>
              <w:rPr>
                <w:rFonts w:ascii="Arial" w:hAnsi="Arial"/>
                <w:b w:val="0"/>
                <w:color w:val="000000"/>
                <w:sz w:val="18"/>
              </w:rPr>
              <w:t>Anomaly latency (windows)</w:t>
            </w:r>
          </w:p>
        </w:tc>
        <w:tc>
          <w:tcPr>
            <w:tcW w:w="2448" w:type="dxa"/>
            <w:tcBorders>
              <w:top w:val="single" w:color="000000" w:sz="4" w:space="0"/>
              <w:left w:val="nil"/>
              <w:bottom w:val="single" w:color="000000" w:sz="4" w:space="0"/>
              <w:right w:val="nil"/>
            </w:tcBorders>
            <w:shd w:val="clear" w:color="auto" w:fill="FFFFFF"/>
            <w:vAlign w:val="center"/>
          </w:tcPr>
          <w:p w14:paraId="0C0795A6">
            <w:pPr>
              <w:spacing w:line="240" w:lineRule="auto"/>
              <w:rPr>
                <w:b w:val="0"/>
                <w:color w:val="000000"/>
              </w:rPr>
            </w:pPr>
            <w:r>
              <w:rPr>
                <w:rFonts w:ascii="Arial" w:hAnsi="Arial"/>
                <w:b w:val="0"/>
                <w:color w:val="000000"/>
                <w:sz w:val="18"/>
              </w:rPr>
              <w:t>Anomalies sent within 3 windows</w:t>
            </w:r>
          </w:p>
        </w:tc>
        <w:tc>
          <w:tcPr>
            <w:tcW w:w="2448" w:type="dxa"/>
            <w:tcBorders>
              <w:top w:val="single" w:color="000000" w:sz="4" w:space="0"/>
              <w:left w:val="nil"/>
              <w:bottom w:val="single" w:color="000000" w:sz="4" w:space="0"/>
              <w:right w:val="nil"/>
            </w:tcBorders>
            <w:shd w:val="clear" w:color="auto" w:fill="FFFFFF"/>
            <w:vAlign w:val="center"/>
          </w:tcPr>
          <w:p w14:paraId="270628A4">
            <w:pPr>
              <w:spacing w:line="240" w:lineRule="auto"/>
              <w:rPr>
                <w:b w:val="0"/>
                <w:color w:val="000000"/>
              </w:rPr>
            </w:pPr>
            <w:r>
              <w:rPr>
                <w:rFonts w:ascii="Arial" w:hAnsi="Arial"/>
                <w:b w:val="0"/>
                <w:color w:val="000000"/>
                <w:sz w:val="18"/>
              </w:rPr>
              <w:t>Routine latency (windows)</w:t>
            </w:r>
          </w:p>
        </w:tc>
      </w:tr>
      <w:tr w14:paraId="05BC0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000000" w:sz="4" w:space="0"/>
              <w:left w:val="nil"/>
              <w:bottom w:val="single" w:color="000000" w:sz="4" w:space="0"/>
              <w:right w:val="nil"/>
            </w:tcBorders>
            <w:shd w:val="clear" w:color="auto" w:fill="FFFFFF"/>
            <w:vAlign w:val="center"/>
          </w:tcPr>
          <w:p w14:paraId="3EC940DF">
            <w:pPr>
              <w:spacing w:line="240" w:lineRule="auto"/>
              <w:rPr>
                <w:b w:val="0"/>
                <w:color w:val="000000"/>
              </w:rPr>
            </w:pPr>
            <w:r>
              <w:rPr>
                <w:rFonts w:ascii="Arial" w:hAnsi="Arial"/>
                <w:b w:val="0"/>
                <w:color w:val="000000"/>
                <w:sz w:val="18"/>
              </w:rPr>
              <w:t>Existing static priority</w:t>
            </w:r>
          </w:p>
        </w:tc>
        <w:tc>
          <w:tcPr>
            <w:tcW w:w="2448" w:type="dxa"/>
            <w:tcBorders>
              <w:top w:val="single" w:color="000000" w:sz="4" w:space="0"/>
              <w:left w:val="nil"/>
              <w:bottom w:val="single" w:color="000000" w:sz="4" w:space="0"/>
              <w:right w:val="nil"/>
            </w:tcBorders>
            <w:shd w:val="clear" w:color="auto" w:fill="FFFFFF"/>
            <w:vAlign w:val="center"/>
          </w:tcPr>
          <w:p w14:paraId="46C2F756">
            <w:pPr>
              <w:spacing w:line="240" w:lineRule="auto"/>
              <w:rPr>
                <w:b w:val="0"/>
                <w:color w:val="000000"/>
              </w:rPr>
            </w:pPr>
            <w:r>
              <w:rPr>
                <w:rFonts w:ascii="Arial" w:hAnsi="Arial"/>
                <w:b w:val="0"/>
                <w:color w:val="000000"/>
                <w:sz w:val="18"/>
              </w:rPr>
              <w:t>10.86</w:t>
            </w:r>
          </w:p>
        </w:tc>
        <w:tc>
          <w:tcPr>
            <w:tcW w:w="2448" w:type="dxa"/>
            <w:tcBorders>
              <w:top w:val="single" w:color="000000" w:sz="4" w:space="0"/>
              <w:left w:val="nil"/>
              <w:bottom w:val="single" w:color="000000" w:sz="4" w:space="0"/>
              <w:right w:val="nil"/>
            </w:tcBorders>
            <w:shd w:val="clear" w:color="auto" w:fill="FFFFFF"/>
            <w:vAlign w:val="center"/>
          </w:tcPr>
          <w:p w14:paraId="397C2614">
            <w:pPr>
              <w:spacing w:line="240" w:lineRule="auto"/>
              <w:rPr>
                <w:b w:val="0"/>
                <w:color w:val="000000"/>
              </w:rPr>
            </w:pPr>
            <w:r>
              <w:rPr>
                <w:rFonts w:ascii="Arial" w:hAnsi="Arial"/>
                <w:b w:val="0"/>
                <w:color w:val="000000"/>
                <w:sz w:val="18"/>
              </w:rPr>
              <w:t>52.6%</w:t>
            </w:r>
          </w:p>
        </w:tc>
        <w:tc>
          <w:tcPr>
            <w:tcW w:w="2448" w:type="dxa"/>
            <w:tcBorders>
              <w:top w:val="single" w:color="000000" w:sz="4" w:space="0"/>
              <w:left w:val="nil"/>
              <w:bottom w:val="single" w:color="000000" w:sz="4" w:space="0"/>
              <w:right w:val="nil"/>
            </w:tcBorders>
            <w:shd w:val="clear" w:color="auto" w:fill="FFFFFF"/>
            <w:vAlign w:val="center"/>
          </w:tcPr>
          <w:p w14:paraId="09496539">
            <w:pPr>
              <w:spacing w:line="240" w:lineRule="auto"/>
              <w:rPr>
                <w:b w:val="0"/>
                <w:color w:val="000000"/>
              </w:rPr>
            </w:pPr>
            <w:r>
              <w:rPr>
                <w:rFonts w:ascii="Arial" w:hAnsi="Arial"/>
                <w:b w:val="0"/>
                <w:color w:val="000000"/>
                <w:sz w:val="18"/>
              </w:rPr>
              <w:t>11.05</w:t>
            </w:r>
          </w:p>
        </w:tc>
      </w:tr>
      <w:tr w14:paraId="03F20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000000" w:sz="4" w:space="0"/>
              <w:left w:val="nil"/>
              <w:bottom w:val="single" w:color="000000" w:sz="4" w:space="0"/>
              <w:right w:val="nil"/>
            </w:tcBorders>
            <w:shd w:val="clear" w:color="auto" w:fill="FFFFFF"/>
            <w:vAlign w:val="center"/>
          </w:tcPr>
          <w:p w14:paraId="4A0D80F3">
            <w:pPr>
              <w:spacing w:line="240" w:lineRule="auto"/>
              <w:rPr>
                <w:b w:val="0"/>
                <w:color w:val="000000"/>
              </w:rPr>
            </w:pPr>
            <w:r>
              <w:rPr>
                <w:rFonts w:ascii="Arial" w:hAnsi="Arial"/>
                <w:b w:val="0"/>
                <w:color w:val="000000"/>
                <w:sz w:val="18"/>
              </w:rPr>
              <w:t>Static + QLS-inspired aging</w:t>
            </w:r>
          </w:p>
        </w:tc>
        <w:tc>
          <w:tcPr>
            <w:tcW w:w="2448" w:type="dxa"/>
            <w:tcBorders>
              <w:top w:val="single" w:color="000000" w:sz="4" w:space="0"/>
              <w:left w:val="nil"/>
              <w:bottom w:val="single" w:color="000000" w:sz="4" w:space="0"/>
              <w:right w:val="nil"/>
            </w:tcBorders>
            <w:shd w:val="clear" w:color="auto" w:fill="FFFFFF"/>
            <w:vAlign w:val="center"/>
          </w:tcPr>
          <w:p w14:paraId="5B5CFF0F">
            <w:pPr>
              <w:spacing w:line="240" w:lineRule="auto"/>
              <w:rPr>
                <w:b w:val="0"/>
                <w:color w:val="000000"/>
              </w:rPr>
            </w:pPr>
            <w:r>
              <w:rPr>
                <w:rFonts w:ascii="Arial" w:hAnsi="Arial"/>
                <w:b w:val="0"/>
                <w:color w:val="000000"/>
                <w:sz w:val="18"/>
              </w:rPr>
              <w:t>10.93</w:t>
            </w:r>
          </w:p>
        </w:tc>
        <w:tc>
          <w:tcPr>
            <w:tcW w:w="2448" w:type="dxa"/>
            <w:tcBorders>
              <w:top w:val="single" w:color="000000" w:sz="4" w:space="0"/>
              <w:left w:val="nil"/>
              <w:bottom w:val="single" w:color="000000" w:sz="4" w:space="0"/>
              <w:right w:val="nil"/>
            </w:tcBorders>
            <w:shd w:val="clear" w:color="auto" w:fill="FFFFFF"/>
            <w:vAlign w:val="center"/>
          </w:tcPr>
          <w:p w14:paraId="3A8B011C">
            <w:pPr>
              <w:spacing w:line="240" w:lineRule="auto"/>
              <w:rPr>
                <w:b w:val="0"/>
                <w:color w:val="000000"/>
              </w:rPr>
            </w:pPr>
            <w:r>
              <w:rPr>
                <w:rFonts w:ascii="Arial" w:hAnsi="Arial"/>
                <w:b w:val="0"/>
                <w:color w:val="000000"/>
                <w:sz w:val="18"/>
              </w:rPr>
              <w:t>35.4%</w:t>
            </w:r>
          </w:p>
        </w:tc>
        <w:tc>
          <w:tcPr>
            <w:tcW w:w="2448" w:type="dxa"/>
            <w:tcBorders>
              <w:top w:val="single" w:color="000000" w:sz="4" w:space="0"/>
              <w:left w:val="nil"/>
              <w:bottom w:val="single" w:color="000000" w:sz="4" w:space="0"/>
              <w:right w:val="nil"/>
            </w:tcBorders>
            <w:shd w:val="clear" w:color="auto" w:fill="FFFFFF"/>
            <w:vAlign w:val="center"/>
          </w:tcPr>
          <w:p w14:paraId="5314A678">
            <w:pPr>
              <w:spacing w:line="240" w:lineRule="auto"/>
              <w:rPr>
                <w:b w:val="0"/>
                <w:color w:val="000000"/>
              </w:rPr>
            </w:pPr>
            <w:r>
              <w:rPr>
                <w:rFonts w:ascii="Arial" w:hAnsi="Arial"/>
                <w:b w:val="0"/>
                <w:color w:val="000000"/>
                <w:sz w:val="18"/>
              </w:rPr>
              <w:t>11.05</w:t>
            </w:r>
          </w:p>
        </w:tc>
      </w:tr>
      <w:tr w14:paraId="1D4FD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000000" w:sz="4" w:space="0"/>
              <w:left w:val="nil"/>
              <w:bottom w:val="single" w:color="000000" w:sz="4" w:space="0"/>
              <w:right w:val="nil"/>
            </w:tcBorders>
            <w:shd w:val="clear" w:color="auto" w:fill="FFFFFF"/>
            <w:vAlign w:val="center"/>
          </w:tcPr>
          <w:p w14:paraId="656CAE87">
            <w:pPr>
              <w:spacing w:line="240" w:lineRule="auto"/>
              <w:rPr>
                <w:b w:val="0"/>
                <w:color w:val="000000"/>
              </w:rPr>
            </w:pPr>
            <w:r>
              <w:rPr>
                <w:rFonts w:ascii="Arial" w:hAnsi="Arial"/>
                <w:b w:val="0"/>
                <w:color w:val="000000"/>
                <w:sz w:val="18"/>
              </w:rPr>
              <w:t>AQUAROS PLUS</w:t>
            </w:r>
          </w:p>
        </w:tc>
        <w:tc>
          <w:tcPr>
            <w:tcW w:w="2448" w:type="dxa"/>
            <w:tcBorders>
              <w:top w:val="single" w:color="000000" w:sz="4" w:space="0"/>
              <w:left w:val="nil"/>
              <w:bottom w:val="single" w:color="000000" w:sz="4" w:space="0"/>
              <w:right w:val="nil"/>
            </w:tcBorders>
            <w:shd w:val="clear" w:color="auto" w:fill="FFFFFF"/>
            <w:vAlign w:val="center"/>
          </w:tcPr>
          <w:p w14:paraId="4BB23DCD">
            <w:pPr>
              <w:spacing w:line="240" w:lineRule="auto"/>
              <w:rPr>
                <w:b w:val="0"/>
                <w:color w:val="000000"/>
              </w:rPr>
            </w:pPr>
            <w:r>
              <w:rPr>
                <w:rFonts w:ascii="Arial" w:hAnsi="Arial"/>
                <w:b w:val="0"/>
                <w:color w:val="000000"/>
                <w:sz w:val="18"/>
              </w:rPr>
              <w:t>0.22</w:t>
            </w:r>
          </w:p>
        </w:tc>
        <w:tc>
          <w:tcPr>
            <w:tcW w:w="2448" w:type="dxa"/>
            <w:tcBorders>
              <w:top w:val="single" w:color="000000" w:sz="4" w:space="0"/>
              <w:left w:val="nil"/>
              <w:bottom w:val="single" w:color="000000" w:sz="4" w:space="0"/>
              <w:right w:val="nil"/>
            </w:tcBorders>
            <w:shd w:val="clear" w:color="auto" w:fill="FFFFFF"/>
            <w:vAlign w:val="center"/>
          </w:tcPr>
          <w:p w14:paraId="42C9BBCD">
            <w:pPr>
              <w:spacing w:line="240" w:lineRule="auto"/>
              <w:rPr>
                <w:b w:val="0"/>
                <w:color w:val="000000"/>
              </w:rPr>
            </w:pPr>
            <w:r>
              <w:rPr>
                <w:rFonts w:ascii="Arial" w:hAnsi="Arial"/>
                <w:b w:val="0"/>
                <w:color w:val="000000"/>
                <w:sz w:val="18"/>
              </w:rPr>
              <w:t>99.9%</w:t>
            </w:r>
          </w:p>
        </w:tc>
        <w:tc>
          <w:tcPr>
            <w:tcW w:w="2448" w:type="dxa"/>
            <w:tcBorders>
              <w:top w:val="single" w:color="000000" w:sz="4" w:space="0"/>
              <w:left w:val="nil"/>
              <w:bottom w:val="single" w:color="000000" w:sz="4" w:space="0"/>
              <w:right w:val="nil"/>
            </w:tcBorders>
            <w:shd w:val="clear" w:color="auto" w:fill="FFFFFF"/>
            <w:vAlign w:val="center"/>
          </w:tcPr>
          <w:p w14:paraId="6C18EC15">
            <w:pPr>
              <w:spacing w:line="240" w:lineRule="auto"/>
              <w:rPr>
                <w:b w:val="0"/>
                <w:color w:val="000000"/>
              </w:rPr>
            </w:pPr>
            <w:r>
              <w:rPr>
                <w:rFonts w:ascii="Arial" w:hAnsi="Arial"/>
                <w:b w:val="0"/>
                <w:color w:val="000000"/>
                <w:sz w:val="18"/>
              </w:rPr>
              <w:t>11.39</w:t>
            </w:r>
          </w:p>
        </w:tc>
      </w:tr>
      <w:tr w14:paraId="67B7A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Borders>
              <w:top w:val="single" w:color="000000" w:sz="4" w:space="0"/>
              <w:left w:val="nil"/>
              <w:bottom w:val="single" w:color="000000" w:sz="4" w:space="0"/>
              <w:right w:val="nil"/>
            </w:tcBorders>
            <w:shd w:val="clear" w:color="auto" w:fill="FFFFFF"/>
            <w:vAlign w:val="center"/>
          </w:tcPr>
          <w:p w14:paraId="4EF110B4">
            <w:pPr>
              <w:spacing w:line="240" w:lineRule="auto"/>
              <w:rPr>
                <w:b w:val="0"/>
                <w:color w:val="000000"/>
              </w:rPr>
            </w:pPr>
            <w:r>
              <w:rPr>
                <w:rFonts w:ascii="Arial" w:hAnsi="Arial"/>
                <w:b w:val="0"/>
                <w:color w:val="000000"/>
                <w:sz w:val="18"/>
              </w:rPr>
              <w:t>AQUAROS PLUS + QLS-inspired</w:t>
            </w:r>
          </w:p>
        </w:tc>
        <w:tc>
          <w:tcPr>
            <w:tcW w:w="2448" w:type="dxa"/>
            <w:tcBorders>
              <w:top w:val="single" w:color="000000" w:sz="4" w:space="0"/>
              <w:left w:val="nil"/>
              <w:bottom w:val="single" w:color="000000" w:sz="4" w:space="0"/>
              <w:right w:val="nil"/>
            </w:tcBorders>
            <w:shd w:val="clear" w:color="auto" w:fill="FFFFFF"/>
            <w:vAlign w:val="center"/>
          </w:tcPr>
          <w:p w14:paraId="49AABF98">
            <w:pPr>
              <w:spacing w:line="240" w:lineRule="auto"/>
              <w:rPr>
                <w:b w:val="0"/>
                <w:color w:val="000000"/>
              </w:rPr>
            </w:pPr>
            <w:r>
              <w:rPr>
                <w:rFonts w:ascii="Arial" w:hAnsi="Arial"/>
                <w:b w:val="0"/>
                <w:color w:val="000000"/>
                <w:sz w:val="18"/>
              </w:rPr>
              <w:t>0.22</w:t>
            </w:r>
          </w:p>
        </w:tc>
        <w:tc>
          <w:tcPr>
            <w:tcW w:w="2448" w:type="dxa"/>
            <w:tcBorders>
              <w:top w:val="single" w:color="000000" w:sz="4" w:space="0"/>
              <w:left w:val="nil"/>
              <w:bottom w:val="single" w:color="000000" w:sz="4" w:space="0"/>
              <w:right w:val="nil"/>
            </w:tcBorders>
            <w:shd w:val="clear" w:color="auto" w:fill="FFFFFF"/>
            <w:vAlign w:val="center"/>
          </w:tcPr>
          <w:p w14:paraId="7D969382">
            <w:pPr>
              <w:spacing w:line="240" w:lineRule="auto"/>
              <w:rPr>
                <w:b w:val="0"/>
                <w:color w:val="000000"/>
              </w:rPr>
            </w:pPr>
            <w:r>
              <w:rPr>
                <w:rFonts w:ascii="Arial" w:hAnsi="Arial"/>
                <w:b w:val="0"/>
                <w:color w:val="000000"/>
                <w:sz w:val="18"/>
              </w:rPr>
              <w:t>99.9%</w:t>
            </w:r>
          </w:p>
        </w:tc>
        <w:tc>
          <w:tcPr>
            <w:tcW w:w="2448" w:type="dxa"/>
            <w:tcBorders>
              <w:top w:val="single" w:color="000000" w:sz="4" w:space="0"/>
              <w:left w:val="nil"/>
              <w:bottom w:val="single" w:color="000000" w:sz="4" w:space="0"/>
              <w:right w:val="nil"/>
            </w:tcBorders>
            <w:shd w:val="clear" w:color="auto" w:fill="FFFFFF"/>
            <w:vAlign w:val="center"/>
          </w:tcPr>
          <w:p w14:paraId="055146FE">
            <w:pPr>
              <w:spacing w:line="240" w:lineRule="auto"/>
              <w:rPr>
                <w:b w:val="0"/>
                <w:color w:val="000000"/>
              </w:rPr>
            </w:pPr>
            <w:r>
              <w:rPr>
                <w:rFonts w:ascii="Arial" w:hAnsi="Arial"/>
                <w:b w:val="0"/>
                <w:color w:val="000000"/>
                <w:sz w:val="18"/>
              </w:rPr>
              <w:t>11.39</w:t>
            </w:r>
          </w:p>
        </w:tc>
      </w:tr>
    </w:tbl>
    <w:p w14:paraId="1486C683">
      <w:pPr>
        <w:rPr>
          <w:color w:val="auto"/>
        </w:rPr>
      </w:pPr>
      <w:r>
        <w:rPr>
          <w:color w:val="auto"/>
        </w:rPr>
        <w:t>The reported average anomaly latency decreases from 10.86 windows for the existing static-priority system to 0.22 windows with AQUAROS PLUS. The proportion of anomalies sent within three windows rises from 52.6% to 99.9%. The reported 95th-percentile anomaly latency decreases from 37.7 windows to 1.0 window, and the anomaly delivery ratio increases from 89.2% to 99.9%. Routine latency rises slightly, from 11.05 to 11.39 windows. These results suggest that content-aware scoring can substantially improve the simulated timeliness of anomalies, with a small increase in routine-message latency under the tested configuration.</w:t>
      </w:r>
    </w:p>
    <w:p w14:paraId="7914FA8D">
      <w:pPr>
        <w:rPr>
          <w:color w:val="auto"/>
        </w:rPr>
      </w:pPr>
      <w:r>
        <w:rPr>
          <w:color w:val="auto"/>
        </w:rPr>
        <w:t>The results are specific to the stated simulation setup and should not be interpreted as measured performance from a physical underwater network.</w:t>
      </w:r>
    </w:p>
    <w:p w14:paraId="0FD3903F">
      <w:pPr>
        <w:pStyle w:val="2"/>
        <w:rPr>
          <w:color w:val="auto"/>
        </w:rPr>
      </w:pPr>
      <w:r>
        <w:rPr>
          <w:color w:val="auto"/>
        </w:rPr>
        <w:t>9. Limitations</w:t>
      </w:r>
    </w:p>
    <w:p w14:paraId="3AAE9641">
      <w:pPr>
        <w:pStyle w:val="23"/>
        <w:rPr>
          <w:color w:val="auto"/>
        </w:rPr>
      </w:pPr>
      <w:r>
        <w:rPr>
          <w:color w:val="auto"/>
        </w:rPr>
        <w:t>The project was evaluated in software simulation only; no physical underwater hardware or live ros_acomms integration was used.</w:t>
      </w:r>
    </w:p>
    <w:p w14:paraId="0FEF760C">
      <w:pPr>
        <w:pStyle w:val="23"/>
        <w:rPr>
          <w:color w:val="auto"/>
        </w:rPr>
      </w:pPr>
      <w:r>
        <w:rPr>
          <w:color w:val="auto"/>
        </w:rPr>
        <w:t>The QLS and SHEEP components are simplified models inspired by published approaches, not exact re-implementations.</w:t>
      </w:r>
    </w:p>
    <w:p w14:paraId="035E3EC6">
      <w:pPr>
        <w:pStyle w:val="23"/>
        <w:rPr>
          <w:color w:val="auto"/>
        </w:rPr>
      </w:pPr>
      <w:r>
        <w:rPr>
          <w:color w:val="auto"/>
        </w:rPr>
        <w:t>The ROS wrapper node was written but remains untested.</w:t>
      </w:r>
    </w:p>
    <w:p w14:paraId="1968B0C7">
      <w:pPr>
        <w:pStyle w:val="23"/>
        <w:rPr>
          <w:color w:val="auto"/>
        </w:rPr>
      </w:pPr>
      <w:r>
        <w:rPr>
          <w:color w:val="auto"/>
        </w:rPr>
        <w:t>Sensor ranges are simplified placeholders and must be calibrated for the deployment environment, especially for hydrophone measurements.</w:t>
      </w:r>
    </w:p>
    <w:p w14:paraId="1A9911C3">
      <w:pPr>
        <w:pStyle w:val="23"/>
        <w:rPr>
          <w:color w:val="auto"/>
        </w:rPr>
      </w:pPr>
      <w:r>
        <w:rPr>
          <w:color w:val="auto"/>
        </w:rPr>
        <w:t>The simulated network is overloaded, so routine-message latency is high across the evaluated systems.</w:t>
      </w:r>
    </w:p>
    <w:p w14:paraId="19070DE0">
      <w:pPr>
        <w:pStyle w:val="2"/>
        <w:rPr>
          <w:color w:val="auto"/>
        </w:rPr>
      </w:pPr>
      <w:r>
        <w:rPr>
          <w:color w:val="auto"/>
        </w:rPr>
        <w:t>10. Future Work and Validation Plan</w:t>
      </w:r>
    </w:p>
    <w:p w14:paraId="1B4C1FE7">
      <w:pPr>
        <w:pStyle w:val="29"/>
        <w:rPr>
          <w:color w:val="auto"/>
        </w:rPr>
      </w:pPr>
      <w:r>
        <w:rPr>
          <w:color w:val="auto"/>
        </w:rPr>
        <w:t>Replay recorded sensor data offline to check scoring behavior against real measurements.</w:t>
      </w:r>
    </w:p>
    <w:p w14:paraId="25B416FB">
      <w:pPr>
        <w:pStyle w:val="29"/>
        <w:rPr>
          <w:color w:val="auto"/>
        </w:rPr>
      </w:pPr>
      <w:r>
        <w:rPr>
          <w:color w:val="auto"/>
        </w:rPr>
        <w:t>Integrate the scoring layer with ros_acomms in a ROS test environment.</w:t>
      </w:r>
    </w:p>
    <w:p w14:paraId="43E15CF3">
      <w:pPr>
        <w:pStyle w:val="29"/>
        <w:rPr>
          <w:color w:val="auto"/>
        </w:rPr>
      </w:pPr>
      <w:r>
        <w:rPr>
          <w:color w:val="auto"/>
        </w:rPr>
        <w:t>Run controlled tank tests with a real acoustic modem.</w:t>
      </w:r>
    </w:p>
    <w:p w14:paraId="1928A5C1">
      <w:pPr>
        <w:pStyle w:val="29"/>
        <w:rPr>
          <w:color w:val="auto"/>
        </w:rPr>
      </w:pPr>
      <w:r>
        <w:rPr>
          <w:color w:val="auto"/>
        </w:rPr>
        <w:t>Evaluate the approach in a field deployment.</w:t>
      </w:r>
    </w:p>
    <w:p w14:paraId="213AFE9F">
      <w:pPr>
        <w:pStyle w:val="29"/>
        <w:rPr>
          <w:color w:val="auto"/>
        </w:rPr>
      </w:pPr>
      <w:r>
        <w:rPr>
          <w:color w:val="auto"/>
        </w:rPr>
        <w:t>Measure critical-message latency, priority accuracy, time-critical delivery ratio, routine-traffic impact, computational overhead, and energy consumption.</w:t>
      </w:r>
    </w:p>
    <w:p w14:paraId="29906E30">
      <w:pPr>
        <w:rPr>
          <w:color w:val="auto"/>
        </w:rPr>
      </w:pPr>
      <w:r>
        <w:rPr>
          <w:color w:val="auto"/>
        </w:rPr>
        <w:t>The scoring is performed locally at the node and does not require additional network transmissions. However, energy neutrality and end-to-end performance need to be measured in a real deployment rather than assumed from simulation.</w:t>
      </w:r>
    </w:p>
    <w:p w14:paraId="0912A450">
      <w:pPr>
        <w:pStyle w:val="2"/>
        <w:rPr>
          <w:color w:val="auto"/>
        </w:rPr>
      </w:pPr>
      <w:r>
        <w:rPr>
          <w:color w:val="auto"/>
        </w:rPr>
        <w:t>11. Conclusion</w:t>
      </w:r>
    </w:p>
    <w:p w14:paraId="6C5E4BFA">
      <w:pPr>
        <w:rPr>
          <w:color w:val="auto"/>
        </w:rPr>
      </w:pPr>
      <w:r>
        <w:rPr>
          <w:color w:val="auto"/>
        </w:rPr>
        <w:t>AQUAROS PLUS addresses a limitation of fixed sensor-type priority by using the actual sensor reading to determine how urgently a message should be transmitted. Normal readings retain their base priority, while out-of-range readings receive a bounded severity boost. The layer is designed to feed the existing priority queue without redesigning the downstream communication stack. In the simulation, average anomaly latency fell from 10.86 to 0.22 windows and the proportion of anomalies sent within three windows increased from 52.6% to 99.9%, while routine latency increased slightly. The next step is validation with recorded sensor data, followed by ROS-based testing and physical acoustic-modem experiments.</w:t>
      </w:r>
    </w:p>
    <w:p w14:paraId="1AA4A98A">
      <w:pPr>
        <w:pStyle w:val="2"/>
        <w:rPr>
          <w:color w:val="auto"/>
        </w:rPr>
      </w:pPr>
      <w:r>
        <w:rPr>
          <w:color w:val="auto"/>
        </w:rPr>
        <w:t>References</w:t>
      </w:r>
    </w:p>
    <w:p w14:paraId="21246290">
      <w:pPr>
        <w:rPr>
          <w:color w:val="auto"/>
        </w:rPr>
      </w:pPr>
      <w:r>
        <w:rPr>
          <w:color w:val="auto"/>
        </w:rPr>
        <w:t>[1] A. Caroline Mary, A. V. Senthil Kumar, and O. S. Saleh, “Packet Scheduling in the Underwater Network Using Active Priority and QLS-Based Energy-Efficient Backpressure Technique,” Lecture Notes in Networks and Systems, vol. 731, Springer, 2024. https://doi.org/10.1007/978-981-99-4071-4_39</w:t>
      </w:r>
    </w:p>
    <w:p w14:paraId="18CE1F4E">
      <w:pPr>
        <w:rPr>
          <w:color w:val="auto"/>
        </w:rPr>
      </w:pPr>
      <w:r>
        <w:rPr>
          <w:color w:val="auto"/>
        </w:rPr>
        <w:t>[2] M. Ismail, H. Qadir, F. A. Khan, S. Jan, Z. Wadud, and A. K. Bashir, “A Novel Routing Protocol for Underwater Wireless Sensor Networks Based on Shifted Energy Efficiency and Priority (SHEEP),” Computer Communications, vol. 210, pp. 147–162, 2023. https://doi.org/10.1016/j.comcom.2023.07.014</w:t>
      </w:r>
    </w:p>
    <w:p w14:paraId="5E4A7CCD">
      <w:pPr>
        <w:rPr>
          <w:color w:val="auto"/>
        </w:rPr>
      </w:pPr>
      <w:r>
        <w:rPr>
          <w:color w:val="auto"/>
        </w:rPr>
        <w:t>Project repository: https://github.com/SecilieaJJ11/AQUAROS-PLUS.git</w:t>
      </w:r>
    </w:p>
    <w:sectPr>
      <w:pgSz w:w="12240" w:h="15840"/>
      <w:pgMar w:top="1080"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58C7C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1683</Words>
  <Characters>10038</Characters>
  <Lines>0</Lines>
  <Paragraphs>0</Paragraphs>
  <TotalTime>1</TotalTime>
  <ScaleCrop>false</ScaleCrop>
  <LinksUpToDate>false</LinksUpToDate>
  <CharactersWithSpaces>11628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Shivani Dev Bahadur</cp:lastModifiedBy>
  <dcterms:modified xsi:type="dcterms:W3CDTF">2026-10-20T13:18:46Z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eyJoZGlkIjoiNTUzY2M0ZjkwNGQxZDNiNGNmOWZmNzEzNDQzZmUxYmUiLCJ1c2VySWQiOiI1Njc2NTM0MzQxMzgifQ==</vt:lpwstr>
  </property>
  <property fmtid="{D5CDD505-2E9C-101B-9397-08002B2CF9AE}" pid="3" name="KSOProductBuildVer">
    <vt:lpwstr>1033-12.1.0.29162</vt:lpwstr>
  </property>
  <property fmtid="{D5CDD505-2E9C-101B-9397-08002B2CF9AE}" pid="4" name="ICV">
    <vt:lpwstr>738996CDFECB4C2A9EB052AB170F70B3_12</vt:lpwstr>
  </property>
</Properties>
</file>