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600"/>
        <w:jc w:val="center"/>
      </w:pPr>
      <w:r>
        <w:rPr>
          <w:rFonts w:ascii="Inter" w:hAnsi="Inter"/>
          <w:b/>
          <w:i w:val="0"/>
          <w:color w:val="54A8FF"/>
          <w:sz w:val="20"/>
        </w:rPr>
        <w:t>8 WEST IT  ·  TOTAL BUSINESS SUITE</w:t>
      </w:r>
    </w:p>
    <w:p>
      <w:pPr>
        <w:spacing w:after="120"/>
        <w:jc w:val="center"/>
      </w:pPr>
      <w:r>
        <w:rPr>
          <w:rFonts w:ascii="Inter" w:hAnsi="Inter"/>
          <w:b/>
          <w:i w:val="0"/>
          <w:color w:val="0B2448"/>
          <w:sz w:val="80"/>
        </w:rPr>
        <w:t>The Help Desk App</w:t>
      </w:r>
    </w:p>
    <w:p>
      <w:pPr>
        <w:spacing w:after="520"/>
        <w:jc w:val="center"/>
      </w:pPr>
      <w:r>
        <w:rPr>
          <w:rFonts w:ascii="Inter" w:hAnsi="Inter"/>
          <w:b w:val="0"/>
          <w:i w:val="0"/>
          <w:color w:val="12345F"/>
          <w:sz w:val="30"/>
        </w:rPr>
        <w:t>App Concept, Naming Candidates &amp; Phased Rollout Plan</w:t>
      </w:r>
    </w:p>
    <w:p>
      <w:pPr>
        <w:spacing w:after="600"/>
        <w:jc w:val="center"/>
        <w:pBdr>
          <w:bottom w:val="single" w:sz="18" w:space="1" w:color="F6C95B"/>
        </w:pBdr>
      </w:pPr>
    </w:p>
    <w:p>
      <w:pPr>
        <w:jc w:val="center"/>
      </w:pPr>
      <w:r>
        <w:rPr>
          <w:rFonts w:ascii="Inter" w:hAnsi="Inter"/>
          <w:b w:val="0"/>
          <w:i/>
          <w:color w:val="51627C"/>
          <w:sz w:val="23"/>
        </w:rPr>
        <w:t xml:space="preserve">The third marker on the route — alongside </w:t>
      </w:r>
      <w:r>
        <w:rPr>
          <w:rFonts w:ascii="Inter" w:hAnsi="Inter"/>
          <w:b/>
          <w:i/>
          <w:color w:val="12345F"/>
          <w:sz w:val="23"/>
        </w:rPr>
        <w:t>Milepost</w:t>
      </w:r>
      <w:r>
        <w:rPr>
          <w:rFonts w:ascii="Inter" w:hAnsi="Inter"/>
          <w:b w:val="0"/>
          <w:i/>
          <w:color w:val="51627C"/>
          <w:sz w:val="23"/>
        </w:rPr>
        <w:t xml:space="preserve"> (RMM) and </w:t>
      </w:r>
      <w:r>
        <w:rPr>
          <w:rFonts w:ascii="Inter" w:hAnsi="Inter"/>
          <w:b/>
          <w:i/>
          <w:color w:val="12345F"/>
          <w:sz w:val="23"/>
        </w:rPr>
        <w:t>Coastmark</w:t>
      </w:r>
      <w:r>
        <w:rPr>
          <w:rFonts w:ascii="Inter" w:hAnsi="Inter"/>
          <w:b w:val="0"/>
          <w:i/>
          <w:color w:val="51627C"/>
          <w:sz w:val="23"/>
        </w:rPr>
        <w:t xml:space="preserve"> (accounting).</w:t>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p>
      <w:pPr>
        <w:spacing w:after="240"/>
      </w:pPr>
      <w:r>
        <w:rPr>
          <w:rFonts w:ascii="Inter" w:hAnsi="Inter"/>
          <w:b w:val="0"/>
          <w:i w:val="0"/>
          <w:color w:val="1A2B45"/>
          <w:sz w:val="4"/>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2448"/>
          </w:tcPr>
          <w:p>
            <w:pPr>
              <w:jc w:val="right"/>
            </w:pPr>
            <w:r>
              <w:rPr>
                <w:rFonts w:ascii="Inter" w:hAnsi="Inter"/>
                <w:b/>
                <w:i w:val="0"/>
                <w:color w:val="2D8CFF"/>
                <w:sz w:val="18"/>
              </w:rPr>
              <w:t xml:space="preserve">PREPARED FOR   </w:t>
            </w:r>
          </w:p>
        </w:tc>
        <w:tc>
          <w:tcPr>
            <w:tcW w:type="dxa" w:w="6192"/>
          </w:tcPr>
          <w:p>
            <w:r>
              <w:rPr>
                <w:rFonts w:ascii="Inter" w:hAnsi="Inter"/>
                <w:b w:val="0"/>
                <w:i w:val="0"/>
                <w:color w:val="1A2B45"/>
                <w:sz w:val="19"/>
              </w:rPr>
              <w:t>8 West IT, LLC — internal planning</w:t>
            </w:r>
          </w:p>
        </w:tc>
      </w:tr>
      <w:tr>
        <w:tc>
          <w:tcPr>
            <w:tcW w:type="dxa" w:w="2448"/>
          </w:tcPr>
          <w:p>
            <w:pPr>
              <w:jc w:val="right"/>
            </w:pPr>
            <w:r>
              <w:rPr>
                <w:rFonts w:ascii="Inter" w:hAnsi="Inter"/>
                <w:b/>
                <w:i w:val="0"/>
                <w:color w:val="2D8CFF"/>
                <w:sz w:val="18"/>
              </w:rPr>
              <w:t xml:space="preserve">CHOSEN NAME   </w:t>
            </w:r>
          </w:p>
        </w:tc>
        <w:tc>
          <w:tcPr>
            <w:tcW w:type="dxa" w:w="6192"/>
          </w:tcPr>
          <w:p>
            <w:r>
              <w:rPr>
                <w:rFonts w:ascii="Inter" w:hAnsi="Inter"/>
                <w:b w:val="0"/>
                <w:i w:val="0"/>
                <w:color w:val="1A2B45"/>
                <w:sz w:val="19"/>
              </w:rPr>
              <w:t>Safeharbor — “Every client issue, safely ashore.” (Section 3)</w:t>
            </w:r>
          </w:p>
        </w:tc>
      </w:tr>
      <w:tr>
        <w:tc>
          <w:tcPr>
            <w:tcW w:type="dxa" w:w="2448"/>
          </w:tcPr>
          <w:p>
            <w:pPr>
              <w:jc w:val="right"/>
            </w:pPr>
            <w:r>
              <w:rPr>
                <w:rFonts w:ascii="Inter" w:hAnsi="Inter"/>
                <w:b/>
                <w:i w:val="0"/>
                <w:color w:val="2D8CFF"/>
                <w:sz w:val="18"/>
              </w:rPr>
              <w:t xml:space="preserve">DATE   </w:t>
            </w:r>
          </w:p>
        </w:tc>
        <w:tc>
          <w:tcPr>
            <w:tcW w:type="dxa" w:w="6192"/>
          </w:tcPr>
          <w:p>
            <w:r>
              <w:rPr>
                <w:rFonts w:ascii="Inter" w:hAnsi="Inter"/>
                <w:b w:val="0"/>
                <w:i w:val="0"/>
                <w:color w:val="1A2B45"/>
                <w:sz w:val="19"/>
              </w:rPr>
              <w:t>August 2, 2026 (v1.2 revision)</w:t>
            </w:r>
          </w:p>
        </w:tc>
      </w:tr>
      <w:tr>
        <w:tc>
          <w:tcPr>
            <w:tcW w:type="dxa" w:w="2448"/>
          </w:tcPr>
          <w:p>
            <w:pPr>
              <w:jc w:val="right"/>
            </w:pPr>
            <w:r>
              <w:rPr>
                <w:rFonts w:ascii="Inter" w:hAnsi="Inter"/>
                <w:b/>
                <w:i w:val="0"/>
                <w:color w:val="2D8CFF"/>
                <w:sz w:val="18"/>
              </w:rPr>
              <w:t xml:space="preserve">STATUS   </w:t>
            </w:r>
          </w:p>
        </w:tc>
        <w:tc>
          <w:tcPr>
            <w:tcW w:type="dxa" w:w="6192"/>
          </w:tcPr>
          <w:p>
            <w:r>
              <w:rPr>
                <w:rFonts w:ascii="Inter" w:hAnsi="Inter"/>
                <w:b w:val="0"/>
                <w:i w:val="0"/>
                <w:color w:val="1A2B45"/>
                <w:sz w:val="19"/>
              </w:rPr>
              <w:t>v1.2 — Sprints 1–5 shipped; Phase 1 feature-complete. Remaining: the dogfood exit gate (4 weeks live desk, p95 &lt; 300ms).</w:t>
            </w:r>
          </w:p>
        </w:tc>
      </w:tr>
    </w:tbl>
    <w:p>
      <w:pPr>
        <w:spacing w:before="800"/>
        <w:jc w:val="center"/>
      </w:pPr>
      <w:r>
        <w:rPr>
          <w:rFonts w:ascii="Inter" w:hAnsi="Inter"/>
          <w:b w:val="0"/>
          <w:i/>
          <w:color w:val="51627C"/>
          <w:sz w:val="17"/>
        </w:rPr>
        <w:t>Confidential — internal planning document. Not for external distribution.</w:t>
      </w:r>
    </w:p>
    <w:p>
      <w:r>
        <w:br w:type="page"/>
      </w:r>
    </w:p>
    <w:p>
      <w:pPr>
        <w:spacing w:before="40" w:after="0"/>
      </w:pPr>
      <w:r>
        <w:rPr>
          <w:rFonts w:ascii="Inter" w:hAnsi="Inter"/>
          <w:b/>
          <w:i w:val="0"/>
          <w:color w:val="54A8FF"/>
          <w:sz w:val="17"/>
        </w:rPr>
        <w:t>SECTION 1</w:t>
      </w:r>
    </w:p>
    <w:p>
      <w:pPr>
        <w:spacing w:before="440" w:after="160"/>
        <w:pBdr>
          <w:bottom w:val="single" w:sz="14" w:space="6" w:color="2D8CFF"/>
        </w:pBdr>
      </w:pPr>
      <w:r>
        <w:rPr>
          <w:rFonts w:ascii="Inter" w:hAnsi="Inter"/>
          <w:b/>
          <w:i w:val="0"/>
          <w:color w:val="0B2448"/>
          <w:sz w:val="34"/>
        </w:rPr>
        <w:t>Executive Summary</w:t>
      </w:r>
    </w:p>
    <w:p>
      <w:pPr>
        <w:spacing w:after="120" w:line="283" w:lineRule="auto"/>
      </w:pPr>
      <w:r>
        <w:rPr>
          <w:rFonts w:ascii="Inter" w:hAnsi="Inter"/>
          <w:b w:val="0"/>
          <w:i w:val="0"/>
          <w:color w:val="1A2B45"/>
          <w:sz w:val="21"/>
        </w:rPr>
        <w:t>8 West IT is building a total business suite for managed service providers: Milepost for RMM and client operations, Coastmark for accounting. This document plans the third product in that suite — a help desk app — and lays out what it should be called, what it must do, and how we roll it out without becoming the kind of bloated software it competes against.</w:t>
      </w:r>
    </w:p>
    <w:p>
      <w:pPr>
        <w:spacing w:before="280" w:after="80"/>
      </w:pPr>
      <w:r>
        <w:rPr>
          <w:rFonts w:ascii="Inter" w:hAnsi="Inter"/>
          <w:b/>
          <w:i w:val="0"/>
          <w:color w:val="12345F"/>
          <w:sz w:val="26"/>
        </w:rPr>
        <w:t>The idea in one paragraph</w:t>
      </w:r>
    </w:p>
    <w:p>
      <w:pPr>
        <w:spacing w:after="120" w:line="283" w:lineRule="auto"/>
      </w:pPr>
      <w:r>
        <w:rPr>
          <w:rFonts w:ascii="Inter" w:hAnsi="Inter"/>
          <w:b w:val="0"/>
          <w:i w:val="0"/>
          <w:color w:val="1A2B45"/>
          <w:sz w:val="21"/>
        </w:rPr>
        <w:t>A help desk purpose-built for small MSPs (1–25 technicians) that is radically simpler, cleaner, and faster than ConnectWise, Autotask, or HaloPSA — because it is designed around the ticket queue technicians actually live in all day, and because it is natively connected to Milepost (so alerts arrive as tickets with the device, client, and contract already attached) and to Coastmark (so approved time becomes an invoice line without a sync job, an export, or a prayer). No competitor owns the RMM, the ledger, and the help desk. We would.</w:t>
      </w:r>
    </w:p>
    <w:p>
      <w:pPr>
        <w:spacing w:before="280" w:after="80"/>
      </w:pPr>
      <w:r>
        <w:rPr>
          <w:rFonts w:ascii="Inter" w:hAnsi="Inter"/>
          <w:b/>
          <w:i w:val="0"/>
          <w:color w:val="12345F"/>
          <w:sz w:val="26"/>
        </w:rPr>
        <w:t>Why now — the research in four sentences</w:t>
      </w:r>
    </w:p>
    <w:p>
      <w:pPr>
        <w:pStyle w:val="ListBullet"/>
        <w:spacing w:after="60" w:line="276" w:lineRule="auto"/>
      </w:pPr>
      <w:r>
        <w:rPr>
          <w:rFonts w:ascii="Inter" w:hAnsi="Inter"/>
          <w:b/>
          <w:i w:val="0"/>
          <w:color w:val="12345F"/>
          <w:sz w:val="21"/>
        </w:rPr>
        <w:t xml:space="preserve">The tools MSPs tolerate are disliked, not loved. </w:t>
      </w:r>
      <w:r>
        <w:rPr>
          <w:rFonts w:ascii="Inter" w:hAnsi="Inter"/>
          <w:b w:val="0"/>
          <w:i w:val="0"/>
          <w:color w:val="1A2B45"/>
          <w:sz w:val="21"/>
        </w:rPr>
        <w:t>ConnectWise is called “clunky,” “bloated,” and “the worst thing I’ve worked with”; its time entry is so disliked that techs batch it on Friday afternoons — a literal revenue leak. HaloPSA is the best-reviewed and still demands a dedicated admin.</w:t>
      </w:r>
    </w:p>
    <w:p>
      <w:pPr>
        <w:pStyle w:val="ListBullet"/>
        <w:spacing w:after="60" w:line="276" w:lineRule="auto"/>
      </w:pPr>
      <w:r>
        <w:rPr>
          <w:rFonts w:ascii="Inter" w:hAnsi="Inter"/>
          <w:b/>
          <w:i w:val="0"/>
          <w:color w:val="12345F"/>
          <w:sz w:val="21"/>
        </w:rPr>
        <w:t xml:space="preserve">The 1–25 tech segment is structurally underserved. </w:t>
      </w:r>
      <w:r>
        <w:rPr>
          <w:rFonts w:ascii="Inter" w:hAnsi="Inter"/>
          <w:b w:val="0"/>
          <w:i w:val="0"/>
          <w:color w:val="1A2B45"/>
          <w:sz w:val="21"/>
        </w:rPr>
        <w:t>HaloPSA locks out shops under 5 seats; ConnectWise/Autotask are oversized; Syncro/Atera fit the segment but are shallow on SLAs, contracts, and reporting.</w:t>
      </w:r>
    </w:p>
    <w:p>
      <w:pPr>
        <w:pStyle w:val="ListBullet"/>
        <w:spacing w:after="60" w:line="276" w:lineRule="auto"/>
      </w:pPr>
      <w:r>
        <w:rPr>
          <w:rFonts w:ascii="Inter" w:hAnsi="Inter"/>
          <w:b/>
          <w:i w:val="0"/>
          <w:color w:val="12345F"/>
          <w:sz w:val="21"/>
        </w:rPr>
        <w:t xml:space="preserve">Nobody has won on interaction design. </w:t>
      </w:r>
      <w:r>
        <w:rPr>
          <w:rFonts w:ascii="Inter" w:hAnsi="Inter"/>
          <w:b w:val="0"/>
          <w:i w:val="0"/>
          <w:color w:val="1A2B45"/>
          <w:sz w:val="21"/>
        </w:rPr>
        <w:t>The modern standard (Linear-grade speed, command palette, keyboard-first, clean dark UI) simply does not exist in MSP tooling. SuperOps is “modern” only relative to ConnectWise.</w:t>
      </w:r>
    </w:p>
    <w:p>
      <w:pPr>
        <w:pStyle w:val="ListBullet"/>
        <w:spacing w:after="60" w:line="276" w:lineRule="auto"/>
      </w:pPr>
      <w:r>
        <w:rPr>
          <w:rFonts w:ascii="Inter" w:hAnsi="Inter"/>
          <w:b/>
          <w:i w:val="0"/>
          <w:color w:val="12345F"/>
          <w:sz w:val="21"/>
        </w:rPr>
        <w:t xml:space="preserve">Pricing honesty is a weapon. </w:t>
      </w:r>
      <w:r>
        <w:rPr>
          <w:rFonts w:ascii="Inter" w:hAnsi="Inter"/>
          <w:b w:val="0"/>
          <w:i w:val="0"/>
          <w:color w:val="1A2B45"/>
          <w:sz w:val="21"/>
        </w:rPr>
        <w:t>Quote-only pricing, seat minimums, and annual lock-ins are actively resented. Published per-tech pricing, monthly terms, AI included.</w:t>
      </w:r>
    </w:p>
    <w:p>
      <w:pPr>
        <w:spacing w:before="280" w:after="80"/>
      </w:pPr>
      <w:r>
        <w:rPr>
          <w:rFonts w:ascii="Inter" w:hAnsi="Inter"/>
          <w:b/>
          <w:i w:val="0"/>
          <w:color w:val="12345F"/>
          <w:sz w:val="26"/>
        </w:rPr>
        <w:t>What this document contains</w:t>
      </w:r>
    </w:p>
    <w:p>
      <w:pPr>
        <w:pStyle w:val="ListBullet"/>
        <w:spacing w:after="60" w:line="276" w:lineRule="auto"/>
      </w:pPr>
      <w:r>
        <w:rPr>
          <w:rFonts w:ascii="Inter" w:hAnsi="Inter"/>
          <w:b w:val="0"/>
          <w:i w:val="0"/>
          <w:color w:val="1A2B45"/>
          <w:sz w:val="21"/>
        </w:rPr>
        <w:t>The 8 West brand foundation this app inherits (Section 2)</w:t>
      </w:r>
    </w:p>
    <w:p>
      <w:pPr>
        <w:pStyle w:val="ListBullet"/>
        <w:spacing w:after="60" w:line="276" w:lineRule="auto"/>
      </w:pPr>
      <w:r>
        <w:rPr>
          <w:rFonts w:ascii="Inter" w:hAnsi="Inter"/>
          <w:b w:val="0"/>
          <w:i w:val="0"/>
          <w:color w:val="1A2B45"/>
          <w:sz w:val="21"/>
        </w:rPr>
        <w:t>20 name and tagline candidates, with a top-3 recommendation (Section 3)</w:t>
      </w:r>
    </w:p>
    <w:p>
      <w:pPr>
        <w:pStyle w:val="ListBullet"/>
        <w:spacing w:after="60" w:line="276" w:lineRule="auto"/>
      </w:pPr>
      <w:r>
        <w:rPr>
          <w:rFonts w:ascii="Inter" w:hAnsi="Inter"/>
          <w:b w:val="0"/>
          <w:i w:val="0"/>
          <w:color w:val="1A2B45"/>
          <w:sz w:val="21"/>
        </w:rPr>
        <w:t>Market research: what MSPs need, what incumbents get wrong (Section 4)</w:t>
      </w:r>
    </w:p>
    <w:p>
      <w:pPr>
        <w:pStyle w:val="ListBullet"/>
        <w:spacing w:after="60" w:line="276" w:lineRule="auto"/>
      </w:pPr>
      <w:r>
        <w:rPr>
          <w:rFonts w:ascii="Inter" w:hAnsi="Inter"/>
          <w:b w:val="0"/>
          <w:i w:val="0"/>
          <w:color w:val="1A2B45"/>
          <w:sz w:val="21"/>
        </w:rPr>
        <w:t>The product concept and feature blueprint (Sections 5–6)</w:t>
      </w:r>
    </w:p>
    <w:p>
      <w:pPr>
        <w:pStyle w:val="ListBullet"/>
        <w:spacing w:after="60" w:line="276" w:lineRule="auto"/>
      </w:pPr>
      <w:r>
        <w:rPr>
          <w:rFonts w:ascii="Inter" w:hAnsi="Inter"/>
          <w:b w:val="0"/>
          <w:i w:val="0"/>
          <w:color w:val="1A2B45"/>
          <w:sz w:val="21"/>
        </w:rPr>
        <w:t>A five-phase rollout plan from foundation to scale (Section 7)</w:t>
      </w:r>
    </w:p>
    <w:p>
      <w:pPr>
        <w:pStyle w:val="ListBullet"/>
        <w:spacing w:after="60" w:line="276" w:lineRule="auto"/>
      </w:pPr>
      <w:r>
        <w:rPr>
          <w:rFonts w:ascii="Inter" w:hAnsi="Inter"/>
          <w:b w:val="0"/>
          <w:i w:val="0"/>
          <w:color w:val="1A2B45"/>
          <w:sz w:val="21"/>
        </w:rPr>
        <w:t>Pricing direction, success metrics, and risks (Sections 8–10)</w:t>
      </w:r>
    </w:p>
    <w:p>
      <w:r>
        <w:br w:type="page"/>
      </w:r>
    </w:p>
    <w:p>
      <w:pPr>
        <w:spacing w:before="40" w:after="0"/>
      </w:pPr>
      <w:r>
        <w:rPr>
          <w:rFonts w:ascii="Inter" w:hAnsi="Inter"/>
          <w:b/>
          <w:i w:val="0"/>
          <w:color w:val="54A8FF"/>
          <w:sz w:val="17"/>
        </w:rPr>
        <w:t>SECTION 2</w:t>
      </w:r>
    </w:p>
    <w:p>
      <w:pPr>
        <w:spacing w:before="440" w:after="160"/>
        <w:pBdr>
          <w:bottom w:val="single" w:sz="14" w:space="6" w:color="2D8CFF"/>
        </w:pBdr>
      </w:pPr>
      <w:r>
        <w:rPr>
          <w:rFonts w:ascii="Inter" w:hAnsi="Inter"/>
          <w:b/>
          <w:i w:val="0"/>
          <w:color w:val="0B2448"/>
          <w:sz w:val="34"/>
        </w:rPr>
        <w:t>Brand Foundation — What This App Inherits</w:t>
      </w:r>
    </w:p>
    <w:p>
      <w:pPr>
        <w:spacing w:after="120" w:line="283" w:lineRule="auto"/>
      </w:pPr>
      <w:r>
        <w:rPr>
          <w:rFonts w:ascii="Inter" w:hAnsi="Inter"/>
          <w:b w:val="0"/>
          <w:i w:val="0"/>
          <w:color w:val="1A2B45"/>
          <w:sz w:val="21"/>
        </w:rPr>
        <w:t>The 8 West IT site speaks a consistent visual language: a deep-navy night sky, electric blue signal light, cyan horizon glow, and a warm gold lamp — with plain-spoken copy that treats the reader like an adult. The help desk app should feel like the same world at application scale. These tokens come directly from 8westit.com and become the app's design system.</w:t>
      </w:r>
    </w:p>
    <w:p>
      <w:pPr>
        <w:spacing w:before="280" w:after="80"/>
      </w:pPr>
      <w:r>
        <w:rPr>
          <w:rFonts w:ascii="Inter" w:hAnsi="Inter"/>
          <w:b/>
          <w:i w:val="0"/>
          <w:color w:val="12345F"/>
          <w:sz w:val="26"/>
        </w:rPr>
        <w:t>Palette (from 8westit.com styles.css)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728"/>
            <w:shd w:val="clear" w:fill="0B2448"/>
            <w:tcMar>
              <w:top w:w="60" w:type="dxa"/>
              <w:bottom w:w="60" w:type="dxa"/>
              <w:start w:w="110" w:type="dxa"/>
              <w:end w:w="110" w:type="dxa"/>
            </w:tcMar>
          </w:tcPr>
          <w:p>
            <w:pPr>
              <w:spacing w:after="0"/>
            </w:pPr>
            <w:r>
              <w:rPr>
                <w:rFonts w:ascii="Inter" w:hAnsi="Inter"/>
                <w:b/>
                <w:i w:val="0"/>
                <w:color w:val="FFFFFF"/>
                <w:sz w:val="19"/>
              </w:rPr>
              <w:t>Token</w:t>
            </w:r>
          </w:p>
        </w:tc>
        <w:tc>
          <w:tcPr>
            <w:tcW w:type="dxa" w:w="1728"/>
            <w:shd w:val="clear" w:fill="0B2448"/>
            <w:tcMar>
              <w:top w:w="60" w:type="dxa"/>
              <w:bottom w:w="60" w:type="dxa"/>
              <w:start w:w="110" w:type="dxa"/>
              <w:end w:w="110" w:type="dxa"/>
            </w:tcMar>
          </w:tcPr>
          <w:p>
            <w:pPr>
              <w:spacing w:after="0"/>
            </w:pPr>
            <w:r>
              <w:rPr>
                <w:rFonts w:ascii="Inter" w:hAnsi="Inter"/>
                <w:b/>
                <w:i w:val="0"/>
                <w:color w:val="FFFFFF"/>
                <w:sz w:val="19"/>
              </w:rPr>
              <w:t>Hex</w:t>
            </w:r>
          </w:p>
        </w:tc>
        <w:tc>
          <w:tcPr>
            <w:tcW w:type="dxa" w:w="5184"/>
            <w:shd w:val="clear" w:fill="0B2448"/>
            <w:tcMar>
              <w:top w:w="60" w:type="dxa"/>
              <w:bottom w:w="60" w:type="dxa"/>
              <w:start w:w="110" w:type="dxa"/>
              <w:end w:w="110" w:type="dxa"/>
            </w:tcMar>
          </w:tcPr>
          <w:p>
            <w:pPr>
              <w:spacing w:after="0"/>
            </w:pPr>
            <w:r>
              <w:rPr>
                <w:rFonts w:ascii="Inter" w:hAnsi="Inter"/>
                <w:b/>
                <w:i w:val="0"/>
                <w:color w:val="FFFFFF"/>
                <w:sz w:val="19"/>
              </w:rPr>
              <w:t>Role in the help desk app</w:t>
            </w:r>
          </w:p>
        </w:tc>
      </w:tr>
      <w:tr>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navy-950</w:t>
            </w:r>
          </w:p>
        </w:tc>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#031022</w:t>
            </w:r>
          </w:p>
        </w:tc>
        <w:tc>
          <w:tcPr>
            <w:tcW w:type="dxa" w:w="5184"/>
            <w:tcMar>
              <w:top w:w="60" w:type="dxa"/>
              <w:bottom w:w="60" w:type="dxa"/>
              <w:start w:w="110" w:type="dxa"/>
              <w:end w:w="110" w:type="dxa"/>
            </w:tcMar>
          </w:tcPr>
          <w:p>
            <w:pPr>
              <w:spacing w:after="0" w:line="269" w:lineRule="auto"/>
            </w:pPr>
            <w:r>
              <w:rPr>
                <w:rFonts w:ascii="Inter" w:hAnsi="Inter"/>
                <w:b w:val="0"/>
                <w:i w:val="0"/>
                <w:color w:val="1A2B45"/>
                <w:sz w:val="19"/>
              </w:rPr>
              <w:t>App window frame / deepest background</w:t>
            </w:r>
          </w:p>
        </w:tc>
      </w:tr>
      <w:tr>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navy-900</w:t>
            </w:r>
          </w:p>
        </w:tc>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#061936</w:t>
            </w:r>
          </w:p>
        </w:tc>
        <w:tc>
          <w:tcPr>
            <w:tcW w:type="dxa" w:w="5184"/>
            <w:tcMar>
              <w:top w:w="60" w:type="dxa"/>
              <w:bottom w:w="60" w:type="dxa"/>
              <w:start w:w="110" w:type="dxa"/>
              <w:end w:w="110" w:type="dxa"/>
            </w:tcMar>
            <w:shd w:val="clear" w:fill="EAF3FF"/>
          </w:tcPr>
          <w:p>
            <w:pPr>
              <w:spacing w:after="0" w:line="269" w:lineRule="auto"/>
            </w:pPr>
            <w:r>
              <w:rPr>
                <w:rFonts w:ascii="Inter" w:hAnsi="Inter"/>
                <w:b w:val="0"/>
                <w:i w:val="0"/>
                <w:color w:val="1A2B45"/>
                <w:sz w:val="19"/>
              </w:rPr>
              <w:t>Primary app background (dark mode first)</w:t>
            </w:r>
          </w:p>
        </w:tc>
      </w:tr>
      <w:tr>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navy-800</w:t>
            </w:r>
          </w:p>
        </w:tc>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#0B2448</w:t>
            </w:r>
          </w:p>
        </w:tc>
        <w:tc>
          <w:tcPr>
            <w:tcW w:type="dxa" w:w="5184"/>
            <w:tcMar>
              <w:top w:w="60" w:type="dxa"/>
              <w:bottom w:w="60" w:type="dxa"/>
              <w:start w:w="110" w:type="dxa"/>
              <w:end w:w="110" w:type="dxa"/>
            </w:tcMar>
          </w:tcPr>
          <w:p>
            <w:pPr>
              <w:spacing w:after="0" w:line="269" w:lineRule="auto"/>
            </w:pPr>
            <w:r>
              <w:rPr>
                <w:rFonts w:ascii="Inter" w:hAnsi="Inter"/>
                <w:b w:val="0"/>
                <w:i w:val="0"/>
                <w:color w:val="1A2B45"/>
                <w:sz w:val="19"/>
              </w:rPr>
              <w:t>Panels, sidebars, ticket detail surface</w:t>
            </w:r>
          </w:p>
        </w:tc>
      </w:tr>
      <w:tr>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navy-700</w:t>
            </w:r>
          </w:p>
        </w:tc>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#12345F</w:t>
            </w:r>
          </w:p>
        </w:tc>
        <w:tc>
          <w:tcPr>
            <w:tcW w:type="dxa" w:w="5184"/>
            <w:tcMar>
              <w:top w:w="60" w:type="dxa"/>
              <w:bottom w:w="60" w:type="dxa"/>
              <w:start w:w="110" w:type="dxa"/>
              <w:end w:w="110" w:type="dxa"/>
            </w:tcMar>
            <w:shd w:val="clear" w:fill="EAF3FF"/>
          </w:tcPr>
          <w:p>
            <w:pPr>
              <w:spacing w:after="0" w:line="269" w:lineRule="auto"/>
            </w:pPr>
            <w:r>
              <w:rPr>
                <w:rFonts w:ascii="Inter" w:hAnsi="Inter"/>
                <w:b w:val="0"/>
                <w:i w:val="0"/>
                <w:color w:val="1A2B45"/>
                <w:sz w:val="19"/>
              </w:rPr>
              <w:t>Hover states, raised cards, table headers</w:t>
            </w:r>
          </w:p>
        </w:tc>
      </w:tr>
      <w:tr>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blue-500</w:t>
            </w:r>
          </w:p>
        </w:tc>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#2D8CFF</w:t>
            </w:r>
          </w:p>
        </w:tc>
        <w:tc>
          <w:tcPr>
            <w:tcW w:type="dxa" w:w="5184"/>
            <w:tcMar>
              <w:top w:w="60" w:type="dxa"/>
              <w:bottom w:w="60" w:type="dxa"/>
              <w:start w:w="110" w:type="dxa"/>
              <w:end w:w="110" w:type="dxa"/>
            </w:tcMar>
          </w:tcPr>
          <w:p>
            <w:pPr>
              <w:spacing w:after="0" w:line="269" w:lineRule="auto"/>
            </w:pPr>
            <w:r>
              <w:rPr>
                <w:rFonts w:ascii="Inter" w:hAnsi="Inter"/>
                <w:b w:val="0"/>
                <w:i w:val="0"/>
                <w:color w:val="1A2B45"/>
                <w:sz w:val="19"/>
              </w:rPr>
              <w:t>Primary actions, links, focus rings</w:t>
            </w:r>
          </w:p>
        </w:tc>
      </w:tr>
      <w:tr>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blue-400</w:t>
            </w:r>
          </w:p>
        </w:tc>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#54A8FF</w:t>
            </w:r>
          </w:p>
        </w:tc>
        <w:tc>
          <w:tcPr>
            <w:tcW w:type="dxa" w:w="5184"/>
            <w:tcMar>
              <w:top w:w="60" w:type="dxa"/>
              <w:bottom w:w="60" w:type="dxa"/>
              <w:start w:w="110" w:type="dxa"/>
              <w:end w:w="110" w:type="dxa"/>
            </w:tcMar>
            <w:shd w:val="clear" w:fill="EAF3FF"/>
          </w:tcPr>
          <w:p>
            <w:pPr>
              <w:spacing w:after="0" w:line="269" w:lineRule="auto"/>
            </w:pPr>
            <w:r>
              <w:rPr>
                <w:rFonts w:ascii="Inter" w:hAnsi="Inter"/>
                <w:b w:val="0"/>
                <w:i w:val="0"/>
                <w:color w:val="1A2B45"/>
                <w:sz w:val="19"/>
              </w:rPr>
              <w:t>Secondary actions, chart series</w:t>
            </w:r>
          </w:p>
        </w:tc>
      </w:tr>
      <w:tr>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cyan-300</w:t>
            </w:r>
          </w:p>
        </w:tc>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#7DDCFF</w:t>
            </w:r>
          </w:p>
        </w:tc>
        <w:tc>
          <w:tcPr>
            <w:tcW w:type="dxa" w:w="5184"/>
            <w:tcMar>
              <w:top w:w="60" w:type="dxa"/>
              <w:bottom w:w="60" w:type="dxa"/>
              <w:start w:w="110" w:type="dxa"/>
              <w:end w:w="110" w:type="dxa"/>
            </w:tcMar>
          </w:tcPr>
          <w:p>
            <w:pPr>
              <w:spacing w:after="0" w:line="269" w:lineRule="auto"/>
            </w:pPr>
            <w:r>
              <w:rPr>
                <w:rFonts w:ascii="Inter" w:hAnsi="Inter"/>
                <w:b w:val="0"/>
                <w:i w:val="0"/>
                <w:color w:val="1A2B45"/>
                <w:sz w:val="19"/>
              </w:rPr>
              <w:t>Highlights, active states, AI-assist accents</w:t>
            </w:r>
          </w:p>
        </w:tc>
      </w:tr>
      <w:tr>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gold-400</w:t>
            </w:r>
          </w:p>
        </w:tc>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#F6C95B</w:t>
            </w:r>
          </w:p>
        </w:tc>
        <w:tc>
          <w:tcPr>
            <w:tcW w:type="dxa" w:w="5184"/>
            <w:tcMar>
              <w:top w:w="60" w:type="dxa"/>
              <w:bottom w:w="60" w:type="dxa"/>
              <w:start w:w="110" w:type="dxa"/>
              <w:end w:w="110" w:type="dxa"/>
            </w:tcMar>
            <w:shd w:val="clear" w:fill="EAF3FF"/>
          </w:tcPr>
          <w:p>
            <w:pPr>
              <w:spacing w:after="0" w:line="269" w:lineRule="auto"/>
            </w:pPr>
            <w:r>
              <w:rPr>
                <w:rFonts w:ascii="Inter" w:hAnsi="Inter"/>
                <w:b w:val="0"/>
                <w:i w:val="0"/>
                <w:color w:val="1A2B45"/>
                <w:sz w:val="19"/>
              </w:rPr>
              <w:t>Warnings, SLA-at-risk, “needs attention” markers</w:t>
            </w:r>
          </w:p>
        </w:tc>
      </w:tr>
      <w:tr>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mint-300</w:t>
            </w:r>
          </w:p>
        </w:tc>
        <w:tc>
          <w:tcPr>
            <w:tcW w:type="dxa" w:w="1728"/>
            <w:tcMar>
              <w:top w:w="60" w:type="dxa"/>
              <w:bottom w:w="60" w:type="dxa"/>
              <w:start w:w="110" w:type="dxa"/>
              <w:end w:w="110" w:type="dxa"/>
            </w:tcMar>
          </w:tcPr>
          <w:p>
            <w:pPr>
              <w:spacing w:after="0" w:line="269" w:lineRule="auto"/>
            </w:pPr>
            <w:r>
              <w:rPr>
                <w:rFonts w:ascii="Inter" w:hAnsi="Inter"/>
                <w:b w:val="0"/>
                <w:i w:val="0"/>
                <w:color w:val="1A2B45"/>
                <w:sz w:val="19"/>
              </w:rPr>
              <w:t>#62F6B0</w:t>
            </w:r>
          </w:p>
        </w:tc>
        <w:tc>
          <w:tcPr>
            <w:tcW w:type="dxa" w:w="5184"/>
            <w:tcMar>
              <w:top w:w="60" w:type="dxa"/>
              <w:bottom w:w="60" w:type="dxa"/>
              <w:start w:w="110" w:type="dxa"/>
              <w:end w:w="110" w:type="dxa"/>
            </w:tcMar>
          </w:tcPr>
          <w:p>
            <w:pPr>
              <w:spacing w:after="0" w:line="269" w:lineRule="auto"/>
            </w:pPr>
            <w:r>
              <w:rPr>
                <w:rFonts w:ascii="Inter" w:hAnsi="Inter"/>
                <w:b w:val="0"/>
                <w:i w:val="0"/>
                <w:color w:val="1A2B45"/>
                <w:sz w:val="19"/>
              </w:rPr>
              <w:t>Success, resolved, SLA-healthy states</w:t>
            </w:r>
          </w:p>
        </w:tc>
      </w:tr>
      <w:tr>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text / muted</w:t>
            </w:r>
          </w:p>
        </w:tc>
        <w:tc>
          <w:tcPr>
            <w:tcW w:type="dxa" w:w="1728"/>
            <w:tcMar>
              <w:top w:w="60" w:type="dxa"/>
              <w:bottom w:w="60" w:type="dxa"/>
              <w:start w:w="110" w:type="dxa"/>
              <w:end w:w="110" w:type="dxa"/>
            </w:tcMar>
            <w:shd w:val="clear" w:fill="EAF3FF"/>
          </w:tcPr>
          <w:p>
            <w:pPr>
              <w:spacing w:after="0" w:line="269" w:lineRule="auto"/>
            </w:pPr>
            <w:r>
              <w:rPr>
                <w:rFonts w:ascii="Inter" w:hAnsi="Inter"/>
                <w:b w:val="0"/>
                <w:i w:val="0"/>
                <w:color w:val="1A2B45"/>
                <w:sz w:val="19"/>
              </w:rPr>
              <w:t>#EAF3FF / #AEBED4</w:t>
            </w:r>
          </w:p>
        </w:tc>
        <w:tc>
          <w:tcPr>
            <w:tcW w:type="dxa" w:w="5184"/>
            <w:tcMar>
              <w:top w:w="60" w:type="dxa"/>
              <w:bottom w:w="60" w:type="dxa"/>
              <w:start w:w="110" w:type="dxa"/>
              <w:end w:w="110" w:type="dxa"/>
            </w:tcMar>
            <w:shd w:val="clear" w:fill="EAF3FF"/>
          </w:tcPr>
          <w:p>
            <w:pPr>
              <w:spacing w:after="0" w:line="269" w:lineRule="auto"/>
            </w:pPr>
            <w:r>
              <w:rPr>
                <w:rFonts w:ascii="Inter" w:hAnsi="Inter"/>
                <w:b w:val="0"/>
                <w:i w:val="0"/>
                <w:color w:val="1A2B45"/>
                <w:sz w:val="19"/>
              </w:rPr>
              <w:t>Primary and secondary text on navy</w:t>
            </w:r>
          </w:p>
        </w:tc>
      </w:tr>
    </w:tbl>
    <w:p>
      <w:pPr>
        <w:spacing w:after="120"/>
      </w:pPr>
      <w:r>
        <w:rPr>
          <w:rFonts w:ascii="Inter" w:hAnsi="Inter"/>
          <w:b w:val="0"/>
          <w:i w:val="0"/>
          <w:color w:val="1A2B45"/>
          <w:sz w:val="4"/>
        </w:rPr>
      </w:r>
    </w:p>
    <w:p>
      <w:pPr>
        <w:spacing w:before="280" w:after="80"/>
      </w:pPr>
      <w:r>
        <w:rPr>
          <w:rFonts w:ascii="Inter" w:hAnsi="Inter"/>
          <w:b/>
          <w:i w:val="0"/>
          <w:color w:val="12345F"/>
          <w:sz w:val="26"/>
        </w:rPr>
        <w:t>Design language</w:t>
      </w:r>
    </w:p>
    <w:p>
      <w:pPr>
        <w:pStyle w:val="ListBullet"/>
        <w:spacing w:after="60" w:line="276" w:lineRule="auto"/>
      </w:pPr>
      <w:r>
        <w:rPr>
          <w:rFonts w:ascii="Inter" w:hAnsi="Inter"/>
          <w:b/>
          <w:i w:val="0"/>
          <w:color w:val="12345F"/>
          <w:sz w:val="21"/>
        </w:rPr>
        <w:t xml:space="preserve">Typography. </w:t>
      </w:r>
      <w:r>
        <w:rPr>
          <w:rFonts w:ascii="Inter" w:hAnsi="Inter"/>
          <w:b w:val="0"/>
          <w:i w:val="0"/>
          <w:color w:val="1A2B45"/>
          <w:sz w:val="21"/>
        </w:rPr>
        <w:t>Inter throughout; UI body at 13–14px; headings tight and quiet.</w:t>
      </w:r>
    </w:p>
    <w:p>
      <w:pPr>
        <w:pStyle w:val="ListBullet"/>
        <w:spacing w:after="60" w:line="276" w:lineRule="auto"/>
      </w:pPr>
      <w:r>
        <w:rPr>
          <w:rFonts w:ascii="Inter" w:hAnsi="Inter"/>
          <w:b/>
          <w:i w:val="0"/>
          <w:color w:val="12345F"/>
          <w:sz w:val="21"/>
        </w:rPr>
        <w:t xml:space="preserve">Surfaces. </w:t>
      </w:r>
      <w:r>
        <w:rPr>
          <w:rFonts w:ascii="Inter" w:hAnsi="Inter"/>
          <w:b w:val="0"/>
          <w:i w:val="0"/>
          <w:color w:val="1A2B45"/>
          <w:sz w:val="21"/>
        </w:rPr>
        <w:t>Glassmorphic cards (7–12% white fill, 16% white border), radius 14–28px, one soft shadow — never hard outlines.</w:t>
      </w:r>
    </w:p>
    <w:p>
      <w:pPr>
        <w:pStyle w:val="ListBullet"/>
        <w:spacing w:after="60" w:line="276" w:lineRule="auto"/>
      </w:pPr>
      <w:r>
        <w:rPr>
          <w:rFonts w:ascii="Inter" w:hAnsi="Inter"/>
          <w:b/>
          <w:i w:val="0"/>
          <w:color w:val="12345F"/>
          <w:sz w:val="21"/>
        </w:rPr>
        <w:t xml:space="preserve">Motion. </w:t>
      </w:r>
      <w:r>
        <w:rPr>
          <w:rFonts w:ascii="Inter" w:hAnsi="Inter"/>
          <w:b w:val="0"/>
          <w:i w:val="0"/>
          <w:color w:val="1A2B45"/>
          <w:sz w:val="21"/>
        </w:rPr>
        <w:t>100–250ms transitions; everything feels instant or says why it isn’t.</w:t>
      </w:r>
    </w:p>
    <w:p>
      <w:pPr>
        <w:pStyle w:val="ListBullet"/>
        <w:spacing w:after="60" w:line="276" w:lineRule="auto"/>
      </w:pPr>
      <w:r>
        <w:rPr>
          <w:rFonts w:ascii="Inter" w:hAnsi="Inter"/>
          <w:b/>
          <w:i w:val="0"/>
          <w:color w:val="12345F"/>
          <w:sz w:val="21"/>
        </w:rPr>
        <w:t xml:space="preserve">Gradients. </w:t>
      </w:r>
      <w:r>
        <w:rPr>
          <w:rFonts w:ascii="Inter" w:hAnsi="Inter"/>
          <w:b w:val="0"/>
          <w:i w:val="0"/>
          <w:color w:val="1A2B45"/>
          <w:sz w:val="21"/>
        </w:rPr>
        <w:t>Cyan→blue reserved for primary action and brand moments only.</w:t>
      </w:r>
    </w:p>
    <w:p>
      <w:pPr>
        <w:pStyle w:val="ListBullet"/>
        <w:spacing w:after="60" w:line="276" w:lineRule="auto"/>
      </w:pPr>
      <w:r>
        <w:rPr>
          <w:rFonts w:ascii="Inter" w:hAnsi="Inter"/>
          <w:b/>
          <w:i w:val="0"/>
          <w:color w:val="12345F"/>
          <w:sz w:val="21"/>
        </w:rPr>
        <w:t xml:space="preserve">Voice. </w:t>
      </w:r>
      <w:r>
        <w:rPr>
          <w:rFonts w:ascii="Inter" w:hAnsi="Inter"/>
          <w:b w:val="0"/>
          <w:i w:val="0"/>
          <w:color w:val="1A2B45"/>
          <w:sz w:val="21"/>
        </w:rPr>
        <w:t>Plain, practical, lightly witty. “Settings that don’t require a decoding ring.” No buzzwords, no enterprise theater.</w:t>
      </w:r>
    </w:p>
    <w:p>
      <w:pPr>
        <w:spacing w:before="280" w:after="80"/>
      </w:pPr>
      <w:r>
        <w:rPr>
          <w:rFonts w:ascii="Inter" w:hAnsi="Inter"/>
          <w:b/>
          <w:i w:val="0"/>
          <w:color w:val="12345F"/>
          <w:sz w:val="26"/>
        </w:rPr>
        <w:t>The product family naming convention</w:t>
      </w:r>
    </w:p>
    <w:p>
      <w:pPr>
        <w:spacing w:after="120" w:line="283" w:lineRule="auto"/>
      </w:pPr>
      <w:r>
        <w:rPr>
          <w:rFonts w:ascii="Inter" w:hAnsi="Inter"/>
          <w:b w:val="0"/>
          <w:i w:val="0"/>
          <w:color w:val="1A2B45"/>
          <w:sz w:val="21"/>
        </w:rPr>
        <w:t>Milepost marks where you are on the road. Coastmark marks where you stand on the coast. Both are wayfinding markers — single words, concrete, calm, and confident. The help desk name must belong to the same family: a marker, a light, or a signal that helps travelers (clients) reach safety. Every candidate in Section 3 was screened against that rule.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584"/>
            <w:shd w:val="clear" w:fill="0B2448"/>
            <w:tcMar>
              <w:top w:w="60" w:type="dxa"/>
              <w:bottom w:w="60" w:type="dxa"/>
              <w:start w:w="110" w:type="dxa"/>
              <w:end w:w="110" w:type="dxa"/>
            </w:tcMar>
          </w:tcPr>
          <w:p>
            <w:pPr>
              <w:spacing w:after="0"/>
            </w:pPr>
            <w:r>
              <w:rPr>
                <w:rFonts w:ascii="Inter" w:hAnsi="Inter"/>
                <w:b/>
                <w:i w:val="0"/>
                <w:color w:val="FFFFFF"/>
                <w:sz w:val="19"/>
              </w:rPr>
              <w:t>Product</w:t>
            </w:r>
          </w:p>
        </w:tc>
        <w:tc>
          <w:tcPr>
            <w:tcW w:type="dxa" w:w="3600"/>
            <w:shd w:val="clear" w:fill="0B2448"/>
            <w:tcMar>
              <w:top w:w="60" w:type="dxa"/>
              <w:bottom w:w="60" w:type="dxa"/>
              <w:start w:w="110" w:type="dxa"/>
              <w:end w:w="110" w:type="dxa"/>
            </w:tcMar>
          </w:tcPr>
          <w:p>
            <w:pPr>
              <w:spacing w:after="0"/>
            </w:pPr>
            <w:r>
              <w:rPr>
                <w:rFonts w:ascii="Inter" w:hAnsi="Inter"/>
                <w:b/>
                <w:i w:val="0"/>
                <w:color w:val="FFFFFF"/>
                <w:sz w:val="19"/>
              </w:rPr>
              <w:t>Job in the suite</w:t>
            </w:r>
          </w:p>
        </w:tc>
        <w:tc>
          <w:tcPr>
            <w:tcW w:type="dxa" w:w="3456"/>
            <w:shd w:val="clear" w:fill="0B2448"/>
            <w:tcMar>
              <w:top w:w="60" w:type="dxa"/>
              <w:bottom w:w="60" w:type="dxa"/>
              <w:start w:w="110" w:type="dxa"/>
              <w:end w:w="110" w:type="dxa"/>
            </w:tcMar>
          </w:tcPr>
          <w:p>
            <w:pPr>
              <w:spacing w:after="0"/>
            </w:pPr>
            <w:r>
              <w:rPr>
                <w:rFonts w:ascii="Inter" w:hAnsi="Inter"/>
                <w:b/>
                <w:i w:val="0"/>
                <w:color w:val="FFFFFF"/>
                <w:sz w:val="19"/>
              </w:rPr>
              <w:t>Marker it represents</w:t>
            </w:r>
          </w:p>
        </w:tc>
      </w:tr>
      <w:tr>
        <w:tc>
          <w:tcPr>
            <w:tcW w:type="dxa" w:w="1584"/>
            <w:tcMar>
              <w:top w:w="60" w:type="dxa"/>
              <w:bottom w:w="60" w:type="dxa"/>
              <w:start w:w="110" w:type="dxa"/>
              <w:end w:w="110" w:type="dxa"/>
            </w:tcMar>
          </w:tcPr>
          <w:p>
            <w:pPr>
              <w:spacing w:after="0" w:line="269" w:lineRule="auto"/>
            </w:pPr>
            <w:r>
              <w:rPr>
                <w:rFonts w:ascii="Inter" w:hAnsi="Inter"/>
                <w:b w:val="0"/>
                <w:i w:val="0"/>
                <w:color w:val="1A2B45"/>
                <w:sz w:val="19"/>
              </w:rPr>
              <w:t>Milepost</w:t>
            </w:r>
          </w:p>
        </w:tc>
        <w:tc>
          <w:tcPr>
            <w:tcW w:type="dxa" w:w="3600"/>
            <w:tcMar>
              <w:top w:w="60" w:type="dxa"/>
              <w:bottom w:w="60" w:type="dxa"/>
              <w:start w:w="110" w:type="dxa"/>
              <w:end w:w="110" w:type="dxa"/>
            </w:tcMar>
          </w:tcPr>
          <w:p>
            <w:pPr>
              <w:spacing w:after="0" w:line="269" w:lineRule="auto"/>
            </w:pPr>
            <w:r>
              <w:rPr>
                <w:rFonts w:ascii="Inter" w:hAnsi="Inter"/>
                <w:b w:val="0"/>
                <w:i w:val="0"/>
                <w:color w:val="1A2B45"/>
                <w:sz w:val="19"/>
              </w:rPr>
              <w:t>RMM — device visibility &amp; client operations</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The road marker: where every device stands</w:t>
            </w:r>
          </w:p>
        </w:tc>
      </w:tr>
      <w:tr>
        <w:tc>
          <w:tcPr>
            <w:tcW w:type="dxa" w:w="1584"/>
            <w:tcMar>
              <w:top w:w="60" w:type="dxa"/>
              <w:bottom w:w="60" w:type="dxa"/>
              <w:start w:w="110" w:type="dxa"/>
              <w:end w:w="110" w:type="dxa"/>
            </w:tcMar>
            <w:shd w:val="clear" w:fill="EAF3FF"/>
          </w:tcPr>
          <w:p>
            <w:pPr>
              <w:spacing w:after="0" w:line="269" w:lineRule="auto"/>
            </w:pPr>
            <w:r>
              <w:rPr>
                <w:rFonts w:ascii="Inter" w:hAnsi="Inter"/>
                <w:b w:val="0"/>
                <w:i w:val="0"/>
                <w:color w:val="1A2B45"/>
                <w:sz w:val="19"/>
              </w:rPr>
              <w:t>Coastmark</w:t>
            </w:r>
          </w:p>
        </w:tc>
        <w:tc>
          <w:tcPr>
            <w:tcW w:type="dxa" w:w="3600"/>
            <w:tcMar>
              <w:top w:w="60" w:type="dxa"/>
              <w:bottom w:w="60" w:type="dxa"/>
              <w:start w:w="110" w:type="dxa"/>
              <w:end w:w="110" w:type="dxa"/>
            </w:tcMar>
            <w:shd w:val="clear" w:fill="EAF3FF"/>
          </w:tcPr>
          <w:p>
            <w:pPr>
              <w:spacing w:after="0" w:line="269" w:lineRule="auto"/>
            </w:pPr>
            <w:r>
              <w:rPr>
                <w:rFonts w:ascii="Inter" w:hAnsi="Inter"/>
                <w:b w:val="0"/>
                <w:i w:val="0"/>
                <w:color w:val="1A2B45"/>
                <w:sz w:val="19"/>
              </w:rPr>
              <w:t>Accounting for MSPs</w:t>
            </w:r>
          </w:p>
        </w:tc>
        <w:tc>
          <w:tcPr>
            <w:tcW w:type="dxa" w:w="3456"/>
            <w:tcMar>
              <w:top w:w="60" w:type="dxa"/>
              <w:bottom w:w="60" w:type="dxa"/>
              <w:start w:w="110" w:type="dxa"/>
              <w:end w:w="110" w:type="dxa"/>
            </w:tcMar>
            <w:shd w:val="clear" w:fill="EAF3FF"/>
          </w:tcPr>
          <w:p>
            <w:pPr>
              <w:spacing w:after="0" w:line="269" w:lineRule="auto"/>
            </w:pPr>
            <w:r>
              <w:rPr>
                <w:rFonts w:ascii="Inter" w:hAnsi="Inter"/>
                <w:b w:val="0"/>
                <w:i w:val="0"/>
                <w:color w:val="1A2B45"/>
                <w:sz w:val="19"/>
              </w:rPr>
              <w:t>The coastal marker: where the business stands</w:t>
            </w:r>
          </w:p>
        </w:tc>
      </w:tr>
      <w:tr>
        <w:tc>
          <w:tcPr>
            <w:tcW w:type="dxa" w:w="1584"/>
            <w:tcMar>
              <w:top w:w="60" w:type="dxa"/>
              <w:bottom w:w="60" w:type="dxa"/>
              <w:start w:w="110" w:type="dxa"/>
              <w:end w:w="110" w:type="dxa"/>
            </w:tcMar>
          </w:tcPr>
          <w:p>
            <w:pPr>
              <w:spacing w:after="0" w:line="269" w:lineRule="auto"/>
            </w:pPr>
            <w:r>
              <w:rPr>
                <w:rFonts w:ascii="Inter" w:hAnsi="Inter"/>
                <w:b w:val="0"/>
                <w:i w:val="0"/>
                <w:color w:val="1A2B45"/>
                <w:sz w:val="19"/>
              </w:rPr>
              <w:t>This app</w:t>
            </w:r>
          </w:p>
        </w:tc>
        <w:tc>
          <w:tcPr>
            <w:tcW w:type="dxa" w:w="3600"/>
            <w:tcMar>
              <w:top w:w="60" w:type="dxa"/>
              <w:bottom w:w="60" w:type="dxa"/>
              <w:start w:w="110" w:type="dxa"/>
              <w:end w:w="110" w:type="dxa"/>
            </w:tcMar>
          </w:tcPr>
          <w:p>
            <w:pPr>
              <w:spacing w:after="0" w:line="269" w:lineRule="auto"/>
            </w:pPr>
            <w:r>
              <w:rPr>
                <w:rFonts w:ascii="Inter" w:hAnsi="Inter"/>
                <w:b w:val="0"/>
                <w:i w:val="0"/>
                <w:color w:val="1A2B45"/>
                <w:sz w:val="19"/>
              </w:rPr>
              <w:t>Help desk — support intake, work, resolution</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The light that guides every issue safely in</w:t>
            </w:r>
          </w:p>
        </w:tc>
      </w:tr>
    </w:tbl>
    <w:p>
      <w:r>
        <w:br w:type="page"/>
      </w:r>
    </w:p>
    <w:p>
      <w:pPr>
        <w:spacing w:before="40" w:after="0"/>
      </w:pPr>
      <w:r>
        <w:rPr>
          <w:rFonts w:ascii="Inter" w:hAnsi="Inter"/>
          <w:b/>
          <w:i w:val="0"/>
          <w:color w:val="54A8FF"/>
          <w:sz w:val="17"/>
        </w:rPr>
        <w:t>SECTION 3</w:t>
      </w:r>
    </w:p>
    <w:p>
      <w:pPr>
        <w:spacing w:before="440" w:after="160"/>
        <w:pBdr>
          <w:bottom w:val="single" w:sz="14" w:space="6" w:color="2D8CFF"/>
        </w:pBdr>
      </w:pPr>
      <w:r>
        <w:rPr>
          <w:rFonts w:ascii="Inter" w:hAnsi="Inter"/>
          <w:b/>
          <w:i w:val="0"/>
          <w:color w:val="0B2448"/>
          <w:sz w:val="34"/>
        </w:rPr>
        <w:t>Naming — 20 Candidates with Taglines</w:t>
      </w:r>
    </w:p>
    <w:p>
      <w:pPr>
        <w:spacing w:after="120" w:line="283" w:lineRule="auto"/>
      </w:pPr>
      <w:r>
        <w:rPr>
          <w:rFonts w:ascii="Inter" w:hAnsi="Inter"/>
          <w:b w:val="0"/>
          <w:i w:val="0"/>
          <w:color w:val="1A2B45"/>
          <w:sz w:val="21"/>
        </w:rPr>
        <w:t>All 20 follow the family rule: single words (or tight compounds) drawn from wayfinding — roads, coasts, lights, and signals. Taglines are written in the 8 West voice: plain-spoken, practical, quietly confident. Each entry notes why it fits. Validation comes after the table — nothing here is final until the checklist in 3.3 is done.</w:t>
      </w:r>
    </w:p>
    <w:p>
      <w:pPr>
        <w:spacing w:before="280" w:after="80"/>
      </w:pPr>
      <w:r>
        <w:rPr>
          <w:rFonts w:ascii="Inter" w:hAnsi="Inter"/>
          <w:b/>
          <w:i w:val="0"/>
          <w:color w:val="12345F"/>
          <w:sz w:val="26"/>
        </w:rPr>
        <w:t>3.1  The candidates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0B2448"/>
            <w:tcMar>
              <w:top w:w="60" w:type="dxa"/>
              <w:bottom w:w="60" w:type="dxa"/>
              <w:start w:w="110" w:type="dxa"/>
              <w:end w:w="110" w:type="dxa"/>
            </w:tcMar>
          </w:tcPr>
          <w:p>
            <w:pPr>
              <w:spacing w:after="0"/>
            </w:pPr>
            <w:r>
              <w:rPr>
                <w:rFonts w:ascii="Inter" w:hAnsi="Inter"/>
                <w:b/>
                <w:i w:val="0"/>
                <w:color w:val="FFFFFF"/>
                <w:sz w:val="19"/>
              </w:rPr>
              <w:t>#</w:t>
            </w:r>
          </w:p>
        </w:tc>
        <w:tc>
          <w:tcPr>
            <w:tcW w:type="dxa" w:w="1800"/>
            <w:shd w:val="clear" w:fill="0B2448"/>
            <w:tcMar>
              <w:top w:w="60" w:type="dxa"/>
              <w:bottom w:w="60" w:type="dxa"/>
              <w:start w:w="110" w:type="dxa"/>
              <w:end w:w="110" w:type="dxa"/>
            </w:tcMar>
          </w:tcPr>
          <w:p>
            <w:pPr>
              <w:spacing w:after="0"/>
            </w:pPr>
            <w:r>
              <w:rPr>
                <w:rFonts w:ascii="Inter" w:hAnsi="Inter"/>
                <w:b/>
                <w:i w:val="0"/>
                <w:color w:val="FFFFFF"/>
                <w:sz w:val="19"/>
              </w:rPr>
              <w:t>Name</w:t>
            </w:r>
          </w:p>
        </w:tc>
        <w:tc>
          <w:tcPr>
            <w:tcW w:type="dxa" w:w="3240"/>
            <w:shd w:val="clear" w:fill="0B2448"/>
            <w:tcMar>
              <w:top w:w="60" w:type="dxa"/>
              <w:bottom w:w="60" w:type="dxa"/>
              <w:start w:w="110" w:type="dxa"/>
              <w:end w:w="110" w:type="dxa"/>
            </w:tcMar>
          </w:tcPr>
          <w:p>
            <w:pPr>
              <w:spacing w:after="0"/>
            </w:pPr>
            <w:r>
              <w:rPr>
                <w:rFonts w:ascii="Inter" w:hAnsi="Inter"/>
                <w:b/>
                <w:i w:val="0"/>
                <w:color w:val="FFFFFF"/>
                <w:sz w:val="19"/>
              </w:rPr>
              <w:t>Tagline</w:t>
            </w:r>
          </w:p>
        </w:tc>
        <w:tc>
          <w:tcPr>
            <w:tcW w:type="dxa" w:w="3096"/>
            <w:shd w:val="clear" w:fill="0B2448"/>
            <w:tcMar>
              <w:top w:w="60" w:type="dxa"/>
              <w:bottom w:w="60" w:type="dxa"/>
              <w:start w:w="110" w:type="dxa"/>
              <w:end w:w="110" w:type="dxa"/>
            </w:tcMar>
          </w:tcPr>
          <w:p>
            <w:pPr>
              <w:spacing w:after="0"/>
            </w:pPr>
            <w:r>
              <w:rPr>
                <w:rFonts w:ascii="Inter" w:hAnsi="Inter"/>
                <w:b/>
                <w:i w:val="0"/>
                <w:color w:val="FFFFFF"/>
                <w:sz w:val="19"/>
              </w:rPr>
              <w:t>Why it fits the family</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1</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Waymark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Every ticket knows where it’s going.</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The truest sibling to Milepost and Coastmark — a trail marker. Quiet, structural, exact.</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2</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Guidepost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Help that points the way.</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Reads instantly as “help”; a signpost for people who need direction.</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3</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Lamplight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Support, with the lights on.</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The gold-on-navy palette made literal. Warm, calm, human — the anti-NOC.</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4</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Lightkeeper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Keeping the lights on for every client.</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The lighthouse keeper — doubles as the MSP’s core promise to its clients.</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5</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Beaconmark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A clear signal when clients need help.</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Distress-to-rescue maritime signal; compounds like Coastmark.</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6</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Harborlight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Guide every issue safely in.</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The light at the harbor mouth — tickets arrive safely, never lost at sea.</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7</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Northlight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The fixed point your support can steer by.</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North-star constancy; also the cyan aurora glow of the palette.</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8</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Signalpost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Where every request lands — and gets answered.</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Communication plus wayfinding; functional and unambiguous.</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9</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Portlight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A clear view into every client’s voyage.</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Porthole double meaning: a light, and a window onto the client.</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10</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Lantern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Carry less. See more.</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A hand-held light — a simple tool for dark work; modest and useful.</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11</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Safeharbor  ★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Every client issue, safely ashore.</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The destination all support aims for; strongest “resolution” connotation. ★ SELECTED — July 21, 2026.</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12</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Watchpost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Nothing slips past your desk.</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Vigilance; pairs naturally with Milepost monitoring alerts.</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13</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Landmark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Support your clients can actually find.</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Unmissable and recognizable — also “land the mark”: resolve the issue.</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14</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Brightpost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Clear requests. Brighter outcomes.</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Optimistic; mirrors the Milepost cadence.</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15</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Truemark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The honest record of every promise kept.</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SLAs and accountability; “true” signals trust and accuracy.</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16</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Chartmark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Every issue plotted. Every fix on course.</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A nautical chart annotation; analytical sibling to Coastmark.</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17</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Pathlight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Lighting the route from problem to fixed.</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Small, humble lights along a path — journey from open to closed.</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18</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Lookout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See every request before it becomes a fire.</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The crow’s nest; a proactive support posture.</w:t>
            </w:r>
          </w:p>
        </w:tc>
      </w:tr>
      <w:tr>
        <w:tc>
          <w:tcPr>
            <w:tcW w:type="dxa" w:w="504"/>
            <w:tcMar>
              <w:top w:w="60" w:type="dxa"/>
              <w:bottom w:w="60" w:type="dxa"/>
              <w:start w:w="110" w:type="dxa"/>
              <w:end w:w="110" w:type="dxa"/>
            </w:tcMar>
          </w:tcPr>
          <w:p>
            <w:pPr>
              <w:spacing w:after="0" w:line="269" w:lineRule="auto"/>
            </w:pPr>
            <w:r>
              <w:rPr>
                <w:rFonts w:ascii="Inter" w:hAnsi="Inter"/>
                <w:b w:val="0"/>
                <w:i w:val="0"/>
                <w:color w:val="1A2B45"/>
                <w:sz w:val="18"/>
              </w:rPr>
              <w:t>19</w:t>
            </w:r>
          </w:p>
        </w:tc>
        <w:tc>
          <w:tcPr>
            <w:tcW w:type="dxa" w:w="1800"/>
            <w:tcMar>
              <w:top w:w="60" w:type="dxa"/>
              <w:bottom w:w="60" w:type="dxa"/>
              <w:start w:w="110" w:type="dxa"/>
              <w:end w:w="110" w:type="dxa"/>
            </w:tcMar>
          </w:tcPr>
          <w:p>
            <w:pPr>
              <w:spacing w:after="0" w:line="269" w:lineRule="auto"/>
            </w:pPr>
            <w:r>
              <w:rPr>
                <w:rFonts w:ascii="Inter" w:hAnsi="Inter"/>
                <w:b/>
                <w:i w:val="0"/>
                <w:color w:val="12345F"/>
                <w:sz w:val="18"/>
              </w:rPr>
              <w:t xml:space="preserve">Anchorlight  </w:t>
            </w:r>
            <w:r>
              <w:rPr>
                <w:rFonts w:ascii="Inter" w:hAnsi="Inter"/>
                <w:b w:val="0"/>
                <w:i w:val="0"/>
                <w:color w:val="1A2B45"/>
                <w:sz w:val="18"/>
              </w:rPr>
            </w:r>
          </w:p>
        </w:tc>
        <w:tc>
          <w:tcPr>
            <w:tcW w:type="dxa" w:w="3240"/>
            <w:tcMar>
              <w:top w:w="60" w:type="dxa"/>
              <w:bottom w:w="60" w:type="dxa"/>
              <w:start w:w="110" w:type="dxa"/>
              <w:end w:w="110" w:type="dxa"/>
            </w:tcMar>
          </w:tcPr>
          <w:p>
            <w:pPr>
              <w:spacing w:after="0" w:line="269" w:lineRule="auto"/>
            </w:pPr>
            <w:r>
              <w:rPr>
                <w:rFonts w:ascii="Inter" w:hAnsi="Inter"/>
                <w:b w:val="0"/>
                <w:i w:val="0"/>
                <w:color w:val="1A2B45"/>
                <w:sz w:val="18"/>
              </w:rPr>
              <w:t>The steady light that’s always on.</w:t>
            </w:r>
          </w:p>
        </w:tc>
        <w:tc>
          <w:tcPr>
            <w:tcW w:type="dxa" w:w="3096"/>
            <w:tcMar>
              <w:top w:w="60" w:type="dxa"/>
              <w:bottom w:w="60" w:type="dxa"/>
              <w:start w:w="110" w:type="dxa"/>
              <w:end w:w="110" w:type="dxa"/>
            </w:tcMar>
          </w:tcPr>
          <w:p>
            <w:pPr>
              <w:spacing w:after="0" w:line="269" w:lineRule="auto"/>
            </w:pPr>
            <w:r>
              <w:rPr>
                <w:rFonts w:ascii="Inter" w:hAnsi="Inter"/>
                <w:b w:val="0"/>
                <w:i w:val="0"/>
                <w:color w:val="1A2B45"/>
                <w:sz w:val="18"/>
              </w:rPr>
              <w:t>The light a ship shows at anchor — quiet 24/7 reliability.</w:t>
            </w:r>
          </w:p>
        </w:tc>
      </w:tr>
      <w:tr>
        <w:tc>
          <w:tcPr>
            <w:tcW w:type="dxa" w:w="504"/>
            <w:tcMar>
              <w:top w:w="60" w:type="dxa"/>
              <w:bottom w:w="60" w:type="dxa"/>
              <w:start w:w="110" w:type="dxa"/>
              <w:end w:w="110" w:type="dxa"/>
            </w:tcMar>
            <w:shd w:val="clear" w:fill="EAF3FF"/>
          </w:tcPr>
          <w:p>
            <w:pPr>
              <w:spacing w:after="0" w:line="269" w:lineRule="auto"/>
            </w:pPr>
            <w:r>
              <w:rPr>
                <w:rFonts w:ascii="Inter" w:hAnsi="Inter"/>
                <w:b w:val="0"/>
                <w:i w:val="0"/>
                <w:color w:val="1A2B45"/>
                <w:sz w:val="18"/>
              </w:rPr>
              <w:t>20</w:t>
            </w:r>
          </w:p>
        </w:tc>
        <w:tc>
          <w:tcPr>
            <w:tcW w:type="dxa" w:w="1800"/>
            <w:tcMar>
              <w:top w:w="60" w:type="dxa"/>
              <w:bottom w:w="60" w:type="dxa"/>
              <w:start w:w="110" w:type="dxa"/>
              <w:end w:w="110" w:type="dxa"/>
            </w:tcMar>
            <w:shd w:val="clear" w:fill="EAF3FF"/>
          </w:tcPr>
          <w:p>
            <w:pPr>
              <w:spacing w:after="0" w:line="269" w:lineRule="auto"/>
            </w:pPr>
            <w:r>
              <w:rPr>
                <w:rFonts w:ascii="Inter" w:hAnsi="Inter"/>
                <w:b/>
                <w:i w:val="0"/>
                <w:color w:val="12345F"/>
                <w:sz w:val="18"/>
              </w:rPr>
              <w:t xml:space="preserve">Channelmark  </w:t>
            </w:r>
            <w:r>
              <w:rPr>
                <w:rFonts w:ascii="Inter" w:hAnsi="Inter"/>
                <w:b w:val="0"/>
                <w:i w:val="0"/>
                <w:color w:val="1A2B45"/>
                <w:sz w:val="18"/>
              </w:rPr>
            </w:r>
          </w:p>
        </w:tc>
        <w:tc>
          <w:tcPr>
            <w:tcW w:type="dxa" w:w="3240"/>
            <w:tcMar>
              <w:top w:w="60" w:type="dxa"/>
              <w:bottom w:w="60" w:type="dxa"/>
              <w:start w:w="110" w:type="dxa"/>
              <w:end w:w="110" w:type="dxa"/>
            </w:tcMar>
            <w:shd w:val="clear" w:fill="EAF3FF"/>
          </w:tcPr>
          <w:p>
            <w:pPr>
              <w:spacing w:after="0" w:line="269" w:lineRule="auto"/>
            </w:pPr>
            <w:r>
              <w:rPr>
                <w:rFonts w:ascii="Inter" w:hAnsi="Inter"/>
                <w:b w:val="0"/>
                <w:i w:val="0"/>
                <w:color w:val="1A2B45"/>
                <w:sz w:val="18"/>
              </w:rPr>
              <w:t>Keeping every client in safe water.</w:t>
            </w:r>
          </w:p>
        </w:tc>
        <w:tc>
          <w:tcPr>
            <w:tcW w:type="dxa" w:w="30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Buoys marking the safe channel — the MSP as guide through hazards.</w:t>
            </w:r>
          </w:p>
        </w:tc>
      </w:tr>
    </w:tbl>
    <w:p>
      <w:pPr>
        <w:spacing w:after="120"/>
      </w:pPr>
      <w:r>
        <w:rPr>
          <w:rFonts w:ascii="Inter" w:hAnsi="Inter"/>
          <w:b w:val="0"/>
          <w:i w:val="0"/>
          <w:color w:val="1A2B45"/>
          <w:sz w:val="4"/>
        </w:rPr>
      </w:r>
    </w:p>
    <w:p>
      <w:pPr>
        <w:spacing w:before="280" w:after="80"/>
      </w:pPr>
      <w:r>
        <w:rPr>
          <w:rFonts w:ascii="Inter" w:hAnsi="Inter"/>
          <w:b/>
          <w:i w:val="0"/>
          <w:color w:val="12345F"/>
          <w:sz w:val="26"/>
        </w:rPr>
        <w:t>3.2  Decision</w:t>
      </w:r>
    </w:p>
    <w:p>
      <w:pPr>
        <w:spacing w:after="40" w:line="283" w:lineRule="auto"/>
      </w:pPr>
      <w:r>
        <w:rPr>
          <w:rFonts w:ascii="Inter" w:hAnsi="Inter"/>
          <w:b/>
          <w:i w:val="0"/>
          <w:color w:val="12345F"/>
          <w:sz w:val="21"/>
        </w:rPr>
        <w:t xml:space="preserve">Selected July 21, 2026: </w:t>
      </w:r>
    </w:p>
    <w:p>
      <w:pPr>
        <w:spacing w:after="120" w:line="283" w:lineRule="auto"/>
      </w:pPr>
      <w:r>
        <w:rPr>
          <w:rFonts w:ascii="Inter" w:hAnsi="Inter"/>
          <w:b/>
          <w:i w:val="0"/>
          <w:color w:val="0B2448"/>
          <w:sz w:val="24"/>
        </w:rPr>
        <w:t xml:space="preserve">Safeharbor — “Every client issue, safely ashore.”  </w:t>
      </w:r>
    </w:p>
    <w:p>
      <w:pPr>
        <w:spacing w:after="120" w:line="283" w:lineRule="auto"/>
      </w:pPr>
      <w:r>
        <w:rPr>
          <w:rFonts w:ascii="Inter" w:hAnsi="Inter"/>
          <w:b w:val="0"/>
          <w:i w:val="0"/>
          <w:color w:val="1A2B45"/>
          <w:sz w:val="21"/>
        </w:rPr>
        <w:t>Safeharbor carries the strongest resolution metaphor in the family: the harbor is where every voyage ends safely — which is precisely the job of a help desk. It pairs naturally with Coastmark (both coastal), gives the product an instantly understood promise, and inspired the brand mark already produced: a gold harbor light radiating over the sheltering harbor bowl (see the brand/ directory in this repository). Shortlist honored: Waymark (most disciplined family fit), Lightkeeper (best story), Lamplight (most visual).</w:t>
      </w:r>
    </w:p>
    <w:p>
      <w:pPr>
        <w:spacing w:after="120" w:line="283" w:lineRule="auto"/>
      </w:pPr>
      <w:r>
        <w:rPr>
          <w:rFonts w:ascii="Inter" w:hAnsi="Inter"/>
          <w:b w:val="0"/>
          <w:i/>
          <w:color w:val="51627C"/>
          <w:sz w:val="21"/>
        </w:rPr>
        <w:t>The name Safeharbor is used throughout this document and the product. Trademark/domain validation (3.3) applies to Safeharbor as the final candidate.</w:t>
      </w:r>
    </w:p>
    <w:p>
      <w:pPr>
        <w:spacing w:before="280" w:after="80"/>
      </w:pPr>
      <w:r>
        <w:rPr>
          <w:rFonts w:ascii="Inter" w:hAnsi="Inter"/>
          <w:b/>
          <w:i w:val="0"/>
          <w:color w:val="12345F"/>
          <w:sz w:val="26"/>
        </w:rPr>
        <w:t>3.3  Validation checklist (before any name is final)</w:t>
      </w:r>
    </w:p>
    <w:p>
      <w:pPr>
        <w:pStyle w:val="ListBullet"/>
        <w:spacing w:after="60" w:line="276" w:lineRule="auto"/>
      </w:pPr>
      <w:r>
        <w:rPr>
          <w:rFonts w:ascii="Inter" w:hAnsi="Inter"/>
          <w:b w:val="0"/>
          <w:i w:val="0"/>
          <w:color w:val="1A2B45"/>
          <w:sz w:val="21"/>
        </w:rPr>
        <w:t>USPTO trademark search (Nice classes 9 &amp; 42) — no conflicts in software/SaaS</w:t>
      </w:r>
    </w:p>
    <w:p>
      <w:pPr>
        <w:pStyle w:val="ListBullet"/>
        <w:spacing w:after="60" w:line="276" w:lineRule="auto"/>
      </w:pPr>
      <w:r>
        <w:rPr>
          <w:rFonts w:ascii="Inter" w:hAnsi="Inter"/>
          <w:b w:val="0"/>
          <w:i w:val="0"/>
          <w:color w:val="1A2B45"/>
          <w:sz w:val="21"/>
        </w:rPr>
        <w:t>Domain acquisition: name.com or getname.com / name.app within budget</w:t>
      </w:r>
    </w:p>
    <w:p>
      <w:pPr>
        <w:pStyle w:val="ListBullet"/>
        <w:spacing w:after="60" w:line="276" w:lineRule="auto"/>
      </w:pPr>
      <w:r>
        <w:rPr>
          <w:rFonts w:ascii="Inter" w:hAnsi="Inter"/>
          <w:b w:val="0"/>
          <w:i w:val="0"/>
          <w:color w:val="1A2B45"/>
          <w:sz w:val="21"/>
        </w:rPr>
        <w:t>Google + GitHub + app-store sweep for existing software products with the name</w:t>
      </w:r>
    </w:p>
    <w:p>
      <w:pPr>
        <w:pStyle w:val="ListBullet"/>
        <w:spacing w:after="60" w:line="276" w:lineRule="auto"/>
      </w:pPr>
      <w:r>
        <w:rPr>
          <w:rFonts w:ascii="Inter" w:hAnsi="Inter"/>
          <w:b w:val="0"/>
          <w:i w:val="0"/>
          <w:color w:val="1A2B45"/>
          <w:sz w:val="21"/>
        </w:rPr>
        <w:t>MSP-community sniff test: post the top 3 in r/msp-adjacent communities for gut reactions</w:t>
      </w:r>
    </w:p>
    <w:p>
      <w:pPr>
        <w:pStyle w:val="ListBullet"/>
        <w:spacing w:after="60" w:line="276" w:lineRule="auto"/>
      </w:pPr>
      <w:r>
        <w:rPr>
          <w:rFonts w:ascii="Inter" w:hAnsi="Inter"/>
          <w:b w:val="0"/>
          <w:i w:val="0"/>
          <w:color w:val="1A2B45"/>
          <w:sz w:val="21"/>
        </w:rPr>
        <w:t>Say-it test: “Open a ticket in ___” must sound natural for all three finalists</w:t>
      </w:r>
    </w:p>
    <w:p>
      <w:r>
        <w:br w:type="page"/>
      </w:r>
    </w:p>
    <w:p>
      <w:pPr>
        <w:spacing w:before="40" w:after="0"/>
      </w:pPr>
      <w:r>
        <w:rPr>
          <w:rFonts w:ascii="Inter" w:hAnsi="Inter"/>
          <w:b/>
          <w:i w:val="0"/>
          <w:color w:val="54A8FF"/>
          <w:sz w:val="17"/>
        </w:rPr>
        <w:t>SECTION 4</w:t>
      </w:r>
    </w:p>
    <w:p>
      <w:pPr>
        <w:spacing w:before="440" w:after="160"/>
        <w:pBdr>
          <w:bottom w:val="single" w:sz="14" w:space="6" w:color="2D8CFF"/>
        </w:pBdr>
      </w:pPr>
      <w:r>
        <w:rPr>
          <w:rFonts w:ascii="Inter" w:hAnsi="Inter"/>
          <w:b/>
          <w:i w:val="0"/>
          <w:color w:val="0B2448"/>
          <w:sz w:val="34"/>
        </w:rPr>
        <w:t>Market Research — What MSPs Actually Need</w:t>
      </w:r>
    </w:p>
    <w:p>
      <w:pPr>
        <w:spacing w:after="120" w:line="283" w:lineRule="auto"/>
      </w:pPr>
      <w:r>
        <w:rPr>
          <w:rFonts w:ascii="Inter" w:hAnsi="Inter"/>
          <w:b w:val="0"/>
          <w:i w:val="0"/>
          <w:color w:val="1A2B45"/>
          <w:sz w:val="21"/>
        </w:rPr>
        <w:t>Findings below are compiled from MSP community threads (r/msp), G2/Capterra review patterns, vendor pricing pages, and independent comparison guides (sources in the Appendix). They drive every scoping decision in this plan.</w:t>
      </w:r>
    </w:p>
    <w:p>
      <w:pPr>
        <w:spacing w:before="280" w:after="80"/>
      </w:pPr>
      <w:r>
        <w:rPr>
          <w:rFonts w:ascii="Inter" w:hAnsi="Inter"/>
          <w:b/>
          <w:i w:val="0"/>
          <w:color w:val="12345F"/>
          <w:sz w:val="26"/>
        </w:rPr>
        <w:t>4.1  Table stakes — features MSPs treat as non-negotiable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720"/>
            <w:shd w:val="clear" w:fill="0B2448"/>
            <w:tcMar>
              <w:top w:w="60" w:type="dxa"/>
              <w:bottom w:w="60" w:type="dxa"/>
              <w:start w:w="110" w:type="dxa"/>
              <w:end w:w="110" w:type="dxa"/>
            </w:tcMar>
          </w:tcPr>
          <w:p>
            <w:pPr>
              <w:spacing w:after="0"/>
            </w:pPr>
            <w:r>
              <w:rPr>
                <w:rFonts w:ascii="Inter" w:hAnsi="Inter"/>
                <w:b/>
                <w:i w:val="0"/>
                <w:color w:val="FFFFFF"/>
                <w:sz w:val="19"/>
              </w:rPr>
              <w:t>Rank</w:t>
            </w:r>
          </w:p>
        </w:tc>
        <w:tc>
          <w:tcPr>
            <w:tcW w:type="dxa" w:w="3168"/>
            <w:shd w:val="clear" w:fill="0B2448"/>
            <w:tcMar>
              <w:top w:w="60" w:type="dxa"/>
              <w:bottom w:w="60" w:type="dxa"/>
              <w:start w:w="110" w:type="dxa"/>
              <w:end w:w="110" w:type="dxa"/>
            </w:tcMar>
          </w:tcPr>
          <w:p>
            <w:pPr>
              <w:spacing w:after="0"/>
            </w:pPr>
            <w:r>
              <w:rPr>
                <w:rFonts w:ascii="Inter" w:hAnsi="Inter"/>
                <w:b/>
                <w:i w:val="0"/>
                <w:color w:val="FFFFFF"/>
                <w:sz w:val="19"/>
              </w:rPr>
              <w:t>Capability</w:t>
            </w:r>
          </w:p>
        </w:tc>
        <w:tc>
          <w:tcPr>
            <w:tcW w:type="dxa" w:w="4752"/>
            <w:shd w:val="clear" w:fill="0B2448"/>
            <w:tcMar>
              <w:top w:w="60" w:type="dxa"/>
              <w:bottom w:w="60" w:type="dxa"/>
              <w:start w:w="110" w:type="dxa"/>
              <w:end w:w="110" w:type="dxa"/>
            </w:tcMar>
          </w:tcPr>
          <w:p>
            <w:pPr>
              <w:spacing w:after="0"/>
            </w:pPr>
            <w:r>
              <w:rPr>
                <w:rFonts w:ascii="Inter" w:hAnsi="Inter"/>
                <w:b/>
                <w:i w:val="0"/>
                <w:color w:val="FFFFFF"/>
                <w:sz w:val="19"/>
              </w:rPr>
              <w:t>What the community says</w:t>
            </w:r>
          </w:p>
        </w:tc>
      </w:tr>
      <w:tr>
        <w:tc>
          <w:tcPr>
            <w:tcW w:type="dxa" w:w="720"/>
            <w:tcMar>
              <w:top w:w="60" w:type="dxa"/>
              <w:bottom w:w="60" w:type="dxa"/>
              <w:start w:w="110" w:type="dxa"/>
              <w:end w:w="110" w:type="dxa"/>
            </w:tcMar>
          </w:tcPr>
          <w:p>
            <w:pPr>
              <w:spacing w:after="0" w:line="269" w:lineRule="auto"/>
            </w:pPr>
            <w:r>
              <w:rPr>
                <w:rFonts w:ascii="Inter" w:hAnsi="Inter"/>
                <w:b w:val="0"/>
                <w:i w:val="0"/>
                <w:color w:val="1A2B45"/>
                <w:sz w:val="18"/>
              </w:rPr>
              <w:t>1</w:t>
            </w:r>
          </w:p>
        </w:tc>
        <w:tc>
          <w:tcPr>
            <w:tcW w:type="dxa" w:w="3168"/>
            <w:tcMar>
              <w:top w:w="60" w:type="dxa"/>
              <w:bottom w:w="60" w:type="dxa"/>
              <w:start w:w="110" w:type="dxa"/>
              <w:end w:w="110" w:type="dxa"/>
            </w:tcMar>
          </w:tcPr>
          <w:p>
            <w:pPr>
              <w:spacing w:after="0" w:line="269" w:lineRule="auto"/>
            </w:pPr>
            <w:r>
              <w:rPr>
                <w:rFonts w:ascii="Inter" w:hAnsi="Inter"/>
                <w:b w:val="0"/>
                <w:i w:val="0"/>
                <w:color w:val="1A2B45"/>
                <w:sz w:val="18"/>
              </w:rPr>
              <w:t>Email-to-ticket with the MSP’s own domain</w:t>
            </w:r>
          </w:p>
        </w:tc>
        <w:tc>
          <w:tcPr>
            <w:tcW w:type="dxa" w:w="4752"/>
            <w:tcMar>
              <w:top w:w="60" w:type="dxa"/>
              <w:bottom w:w="60" w:type="dxa"/>
              <w:start w:w="110" w:type="dxa"/>
              <w:end w:w="110" w:type="dxa"/>
            </w:tcMar>
          </w:tcPr>
          <w:p>
            <w:pPr>
              <w:spacing w:after="0" w:line="269" w:lineRule="auto"/>
            </w:pPr>
            <w:r>
              <w:rPr>
                <w:rFonts w:ascii="Inter" w:hAnsi="Inter"/>
                <w:b w:val="0"/>
                <w:i w:val="0"/>
                <w:color w:val="1A2B45"/>
                <w:sz w:val="18"/>
              </w:rPr>
              <w:t>The #1 intake channel — “most users want to just email the helpdesk.” NinjaOne is dinged for lacking custom domains.</w:t>
            </w:r>
          </w:p>
        </w:tc>
      </w:tr>
      <w:tr>
        <w:tc>
          <w:tcPr>
            <w:tcW w:type="dxa" w:w="720"/>
            <w:tcMar>
              <w:top w:w="60" w:type="dxa"/>
              <w:bottom w:w="60" w:type="dxa"/>
              <w:start w:w="110" w:type="dxa"/>
              <w:end w:w="110" w:type="dxa"/>
            </w:tcMar>
            <w:shd w:val="clear" w:fill="EAF3FF"/>
          </w:tcPr>
          <w:p>
            <w:pPr>
              <w:spacing w:after="0" w:line="269" w:lineRule="auto"/>
            </w:pPr>
            <w:r>
              <w:rPr>
                <w:rFonts w:ascii="Inter" w:hAnsi="Inter"/>
                <w:b w:val="0"/>
                <w:i w:val="0"/>
                <w:color w:val="1A2B45"/>
                <w:sz w:val="18"/>
              </w:rPr>
              <w:t>2</w:t>
            </w:r>
          </w:p>
        </w:tc>
        <w:tc>
          <w:tcPr>
            <w:tcW w:type="dxa" w:w="3168"/>
            <w:tcMar>
              <w:top w:w="60" w:type="dxa"/>
              <w:bottom w:w="60" w:type="dxa"/>
              <w:start w:w="110" w:type="dxa"/>
              <w:end w:w="110" w:type="dxa"/>
            </w:tcMar>
            <w:shd w:val="clear" w:fill="EAF3FF"/>
          </w:tcPr>
          <w:p>
            <w:pPr>
              <w:spacing w:after="0" w:line="269" w:lineRule="auto"/>
            </w:pPr>
            <w:r>
              <w:rPr>
                <w:rFonts w:ascii="Inter" w:hAnsi="Inter"/>
                <w:b w:val="0"/>
                <w:i w:val="0"/>
                <w:color w:val="1A2B45"/>
                <w:sz w:val="18"/>
              </w:rPr>
              <w:t>Frictionless time tracking tied to billing</w:t>
            </w:r>
          </w:p>
        </w:tc>
        <w:tc>
          <w:tcPr>
            <w:tcW w:type="dxa" w:w="4752"/>
            <w:tcMar>
              <w:top w:w="60" w:type="dxa"/>
              <w:bottom w:w="60" w:type="dxa"/>
              <w:start w:w="110" w:type="dxa"/>
              <w:end w:w="110" w:type="dxa"/>
            </w:tcMar>
            <w:shd w:val="clear" w:fill="EAF3FF"/>
          </w:tcPr>
          <w:p>
            <w:pPr>
              <w:spacing w:after="0" w:line="269" w:lineRule="auto"/>
            </w:pPr>
            <w:r>
              <w:rPr>
                <w:rFonts w:ascii="Inter" w:hAnsi="Inter"/>
                <w:b w:val="0"/>
                <w:i w:val="0"/>
                <w:color w:val="1A2B45"/>
                <w:sz w:val="18"/>
              </w:rPr>
              <w:t>The most emotionally charged feature. ConnectWise time entry is so disliked that techs batch it Fridays — a measurable revenue leak.</w:t>
            </w:r>
          </w:p>
        </w:tc>
      </w:tr>
      <w:tr>
        <w:tc>
          <w:tcPr>
            <w:tcW w:type="dxa" w:w="720"/>
            <w:tcMar>
              <w:top w:w="60" w:type="dxa"/>
              <w:bottom w:w="60" w:type="dxa"/>
              <w:start w:w="110" w:type="dxa"/>
              <w:end w:w="110" w:type="dxa"/>
            </w:tcMar>
          </w:tcPr>
          <w:p>
            <w:pPr>
              <w:spacing w:after="0" w:line="269" w:lineRule="auto"/>
            </w:pPr>
            <w:r>
              <w:rPr>
                <w:rFonts w:ascii="Inter" w:hAnsi="Inter"/>
                <w:b w:val="0"/>
                <w:i w:val="0"/>
                <w:color w:val="1A2B45"/>
                <w:sz w:val="18"/>
              </w:rPr>
              <w:t>3</w:t>
            </w:r>
          </w:p>
        </w:tc>
        <w:tc>
          <w:tcPr>
            <w:tcW w:type="dxa" w:w="3168"/>
            <w:tcMar>
              <w:top w:w="60" w:type="dxa"/>
              <w:bottom w:w="60" w:type="dxa"/>
              <w:start w:w="110" w:type="dxa"/>
              <w:end w:w="110" w:type="dxa"/>
            </w:tcMar>
          </w:tcPr>
          <w:p>
            <w:pPr>
              <w:spacing w:after="0" w:line="269" w:lineRule="auto"/>
            </w:pPr>
            <w:r>
              <w:rPr>
                <w:rFonts w:ascii="Inter" w:hAnsi="Inter"/>
                <w:b w:val="0"/>
                <w:i w:val="0"/>
                <w:color w:val="1A2B45"/>
                <w:sz w:val="18"/>
              </w:rPr>
              <w:t>SLA policies with breach alerts &amp; business hours</w:t>
            </w:r>
          </w:p>
        </w:tc>
        <w:tc>
          <w:tcPr>
            <w:tcW w:type="dxa" w:w="4752"/>
            <w:tcMar>
              <w:top w:w="60" w:type="dxa"/>
              <w:bottom w:w="60" w:type="dxa"/>
              <w:start w:w="110" w:type="dxa"/>
              <w:end w:w="110" w:type="dxa"/>
            </w:tcMar>
          </w:tcPr>
          <w:p>
            <w:pPr>
              <w:spacing w:after="0" w:line="269" w:lineRule="auto"/>
            </w:pPr>
            <w:r>
              <w:rPr>
                <w:rFonts w:ascii="Inter" w:hAnsi="Inter"/>
                <w:b w:val="0"/>
                <w:i w:val="0"/>
                <w:color w:val="1A2B45"/>
                <w:sz w:val="18"/>
              </w:rPr>
              <w:t>HaloPSA’s most-praised trait: “we finally model real SLAs without workarounds.”</w:t>
            </w:r>
          </w:p>
        </w:tc>
      </w:tr>
      <w:tr>
        <w:tc>
          <w:tcPr>
            <w:tcW w:type="dxa" w:w="720"/>
            <w:tcMar>
              <w:top w:w="60" w:type="dxa"/>
              <w:bottom w:w="60" w:type="dxa"/>
              <w:start w:w="110" w:type="dxa"/>
              <w:end w:w="110" w:type="dxa"/>
            </w:tcMar>
            <w:shd w:val="clear" w:fill="EAF3FF"/>
          </w:tcPr>
          <w:p>
            <w:pPr>
              <w:spacing w:after="0" w:line="269" w:lineRule="auto"/>
            </w:pPr>
            <w:r>
              <w:rPr>
                <w:rFonts w:ascii="Inter" w:hAnsi="Inter"/>
                <w:b w:val="0"/>
                <w:i w:val="0"/>
                <w:color w:val="1A2B45"/>
                <w:sz w:val="18"/>
              </w:rPr>
              <w:t>4</w:t>
            </w:r>
          </w:p>
        </w:tc>
        <w:tc>
          <w:tcPr>
            <w:tcW w:type="dxa" w:w="3168"/>
            <w:tcMar>
              <w:top w:w="60" w:type="dxa"/>
              <w:bottom w:w="60" w:type="dxa"/>
              <w:start w:w="110" w:type="dxa"/>
              <w:end w:w="110" w:type="dxa"/>
            </w:tcMar>
            <w:shd w:val="clear" w:fill="EAF3FF"/>
          </w:tcPr>
          <w:p>
            <w:pPr>
              <w:spacing w:after="0" w:line="269" w:lineRule="auto"/>
            </w:pPr>
            <w:r>
              <w:rPr>
                <w:rFonts w:ascii="Inter" w:hAnsi="Inter"/>
                <w:b w:val="0"/>
                <w:i w:val="0"/>
                <w:color w:val="1A2B45"/>
                <w:sz w:val="18"/>
              </w:rPr>
              <w:t>Contracts / agreements + recurring billing</w:t>
            </w:r>
          </w:p>
        </w:tc>
        <w:tc>
          <w:tcPr>
            <w:tcW w:type="dxa" w:w="4752"/>
            <w:tcMar>
              <w:top w:w="60" w:type="dxa"/>
              <w:bottom w:w="60" w:type="dxa"/>
              <w:start w:w="110" w:type="dxa"/>
              <w:end w:w="110" w:type="dxa"/>
            </w:tcMar>
            <w:shd w:val="clear" w:fill="EAF3FF"/>
          </w:tcPr>
          <w:p>
            <w:pPr>
              <w:spacing w:after="0" w:line="269" w:lineRule="auto"/>
            </w:pPr>
            <w:r>
              <w:rPr>
                <w:rFonts w:ascii="Inter" w:hAnsi="Inter"/>
                <w:b w:val="0"/>
                <w:i w:val="0"/>
                <w:color w:val="1A2B45"/>
                <w:sz w:val="18"/>
              </w:rPr>
              <w:t>The reason PSAs exist. Recurring-invoice automation is the most-praised module in CW and BMS reviews.</w:t>
            </w:r>
          </w:p>
        </w:tc>
      </w:tr>
      <w:tr>
        <w:tc>
          <w:tcPr>
            <w:tcW w:type="dxa" w:w="720"/>
            <w:tcMar>
              <w:top w:w="60" w:type="dxa"/>
              <w:bottom w:w="60" w:type="dxa"/>
              <w:start w:w="110" w:type="dxa"/>
              <w:end w:w="110" w:type="dxa"/>
            </w:tcMar>
          </w:tcPr>
          <w:p>
            <w:pPr>
              <w:spacing w:after="0" w:line="269" w:lineRule="auto"/>
            </w:pPr>
            <w:r>
              <w:rPr>
                <w:rFonts w:ascii="Inter" w:hAnsi="Inter"/>
                <w:b w:val="0"/>
                <w:i w:val="0"/>
                <w:color w:val="1A2B45"/>
                <w:sz w:val="18"/>
              </w:rPr>
              <w:t>5</w:t>
            </w:r>
          </w:p>
        </w:tc>
        <w:tc>
          <w:tcPr>
            <w:tcW w:type="dxa" w:w="3168"/>
            <w:tcMar>
              <w:top w:w="60" w:type="dxa"/>
              <w:bottom w:w="60" w:type="dxa"/>
              <w:start w:w="110" w:type="dxa"/>
              <w:end w:w="110" w:type="dxa"/>
            </w:tcMar>
          </w:tcPr>
          <w:p>
            <w:pPr>
              <w:spacing w:after="0" w:line="269" w:lineRule="auto"/>
            </w:pPr>
            <w:r>
              <w:rPr>
                <w:rFonts w:ascii="Inter" w:hAnsi="Inter"/>
                <w:b w:val="0"/>
                <w:i w:val="0"/>
                <w:color w:val="1A2B45"/>
                <w:sz w:val="18"/>
              </w:rPr>
              <w:t>True multi-client separation</w:t>
            </w:r>
          </w:p>
        </w:tc>
        <w:tc>
          <w:tcPr>
            <w:tcW w:type="dxa" w:w="4752"/>
            <w:tcMar>
              <w:top w:w="60" w:type="dxa"/>
              <w:bottom w:w="60" w:type="dxa"/>
              <w:start w:w="110" w:type="dxa"/>
              <w:end w:w="110" w:type="dxa"/>
            </w:tcMar>
          </w:tcPr>
          <w:p>
            <w:pPr>
              <w:spacing w:after="0" w:line="269" w:lineRule="auto"/>
            </w:pPr>
            <w:r>
              <w:rPr>
                <w:rFonts w:ascii="Inter" w:hAnsi="Inter"/>
                <w:b w:val="0"/>
                <w:i w:val="0"/>
                <w:color w:val="1A2B45"/>
                <w:sz w:val="18"/>
              </w:rPr>
              <w:t>One dashboard, isolated client data, per-client SLAs — the MSP-vs-generic-helpdesk dividing line. Zendesk is dinged for lacking it.</w:t>
            </w:r>
          </w:p>
        </w:tc>
      </w:tr>
      <w:tr>
        <w:tc>
          <w:tcPr>
            <w:tcW w:type="dxa" w:w="720"/>
            <w:tcMar>
              <w:top w:w="60" w:type="dxa"/>
              <w:bottom w:w="60" w:type="dxa"/>
              <w:start w:w="110" w:type="dxa"/>
              <w:end w:w="110" w:type="dxa"/>
            </w:tcMar>
            <w:shd w:val="clear" w:fill="EAF3FF"/>
          </w:tcPr>
          <w:p>
            <w:pPr>
              <w:spacing w:after="0" w:line="269" w:lineRule="auto"/>
            </w:pPr>
            <w:r>
              <w:rPr>
                <w:rFonts w:ascii="Inter" w:hAnsi="Inter"/>
                <w:b w:val="0"/>
                <w:i w:val="0"/>
                <w:color w:val="1A2B45"/>
                <w:sz w:val="18"/>
              </w:rPr>
              <w:t>6</w:t>
            </w:r>
          </w:p>
        </w:tc>
        <w:tc>
          <w:tcPr>
            <w:tcW w:type="dxa" w:w="3168"/>
            <w:tcMar>
              <w:top w:w="60" w:type="dxa"/>
              <w:bottom w:w="60" w:type="dxa"/>
              <w:start w:w="110" w:type="dxa"/>
              <w:end w:w="110" w:type="dxa"/>
            </w:tcMar>
            <w:shd w:val="clear" w:fill="EAF3FF"/>
          </w:tcPr>
          <w:p>
            <w:pPr>
              <w:spacing w:after="0" w:line="269" w:lineRule="auto"/>
            </w:pPr>
            <w:r>
              <w:rPr>
                <w:rFonts w:ascii="Inter" w:hAnsi="Inter"/>
                <w:b w:val="0"/>
                <w:i w:val="0"/>
                <w:color w:val="1A2B45"/>
                <w:sz w:val="18"/>
              </w:rPr>
              <w:t>RMM context on tickets</w:t>
            </w:r>
          </w:p>
        </w:tc>
        <w:tc>
          <w:tcPr>
            <w:tcW w:type="dxa" w:w="4752"/>
            <w:tcMar>
              <w:top w:w="60" w:type="dxa"/>
              <w:bottom w:w="60" w:type="dxa"/>
              <w:start w:w="110" w:type="dxa"/>
              <w:end w:w="110" w:type="dxa"/>
            </w:tcMar>
            <w:shd w:val="clear" w:fill="EAF3FF"/>
          </w:tcPr>
          <w:p>
            <w:pPr>
              <w:spacing w:after="0" w:line="269" w:lineRule="auto"/>
            </w:pPr>
            <w:r>
              <w:rPr>
                <w:rFonts w:ascii="Inter" w:hAnsi="Inter"/>
                <w:b w:val="0"/>
                <w:i w:val="0"/>
                <w:color w:val="1A2B45"/>
                <w:sz w:val="18"/>
              </w:rPr>
              <w:t>Alert→ticket with device, client, and contract pre-attached is the most-praised trait of unified tools; Automate↔Manage sync pain is legendary.</w:t>
            </w:r>
          </w:p>
        </w:tc>
      </w:tr>
    </w:tbl>
    <w:p>
      <w:pPr>
        <w:spacing w:after="120"/>
      </w:pPr>
      <w:r>
        <w:rPr>
          <w:rFonts w:ascii="Inter" w:hAnsi="Inter"/>
          <w:b w:val="0"/>
          <w:i w:val="0"/>
          <w:color w:val="1A2B45"/>
          <w:sz w:val="4"/>
        </w:rPr>
      </w:r>
    </w:p>
    <w:p>
      <w:pPr>
        <w:spacing w:before="200" w:after="40"/>
      </w:pPr>
      <w:r>
        <w:rPr>
          <w:rFonts w:ascii="Inter" w:hAnsi="Inter"/>
          <w:b/>
          <w:i w:val="0"/>
          <w:color w:val="2D8CFF"/>
          <w:sz w:val="22"/>
        </w:rPr>
        <w:t>Strongly expected (deal-shaping, not deal-breaking)</w:t>
      </w:r>
    </w:p>
    <w:p>
      <w:pPr>
        <w:pStyle w:val="ListBullet"/>
        <w:spacing w:after="60" w:line="276" w:lineRule="auto"/>
      </w:pPr>
      <w:r>
        <w:rPr>
          <w:rFonts w:ascii="Inter" w:hAnsi="Inter"/>
          <w:b w:val="0"/>
          <w:i w:val="0"/>
          <w:color w:val="1A2B45"/>
          <w:sz w:val="21"/>
        </w:rPr>
        <w:t>White-labeled client portal (tickets, status, invoices, KB) — HaloPSA’s default portal is famously “ships ugly”</w:t>
      </w:r>
    </w:p>
    <w:p>
      <w:pPr>
        <w:pStyle w:val="ListBullet"/>
        <w:spacing w:after="60" w:line="276" w:lineRule="auto"/>
      </w:pPr>
      <w:r>
        <w:rPr>
          <w:rFonts w:ascii="Inter" w:hAnsi="Inter"/>
          <w:b w:val="0"/>
          <w:i w:val="0"/>
          <w:color w:val="1A2B45"/>
          <w:sz w:val="21"/>
        </w:rPr>
        <w:t>Automation rules that a non-engineer can build (IFTTT-simple, not CW workflow weeks)</w:t>
      </w:r>
    </w:p>
    <w:p>
      <w:pPr>
        <w:pStyle w:val="ListBullet"/>
        <w:spacing w:after="60" w:line="276" w:lineRule="auto"/>
      </w:pPr>
      <w:r>
        <w:rPr>
          <w:rFonts w:ascii="Inter" w:hAnsi="Inter"/>
          <w:b w:val="0"/>
          <w:i w:val="0"/>
          <w:color w:val="1A2B45"/>
          <w:sz w:val="21"/>
        </w:rPr>
        <w:t>Reporting: SLA attainment, tech utilization, ticket aging — Syncro loses deals here</w:t>
      </w:r>
    </w:p>
    <w:p>
      <w:pPr>
        <w:pStyle w:val="ListBullet"/>
        <w:spacing w:after="60" w:line="276" w:lineRule="auto"/>
      </w:pPr>
      <w:r>
        <w:rPr>
          <w:rFonts w:ascii="Inter" w:hAnsi="Inter"/>
          <w:b w:val="0"/>
          <w:i w:val="0"/>
          <w:color w:val="1A2B45"/>
          <w:sz w:val="21"/>
        </w:rPr>
        <w:t>Billing handoff (native or QuickBooks/Xero), knowledge base, ticket templates/recurring tickets</w:t>
      </w:r>
    </w:p>
    <w:p>
      <w:pPr>
        <w:pStyle w:val="ListBullet"/>
        <w:spacing w:after="60" w:line="276" w:lineRule="auto"/>
      </w:pPr>
      <w:r>
        <w:rPr>
          <w:rFonts w:ascii="Inter" w:hAnsi="Inter"/>
          <w:b w:val="0"/>
          <w:i w:val="0"/>
          <w:color w:val="1A2B45"/>
          <w:sz w:val="21"/>
        </w:rPr>
        <w:t>Microsoft 365 / Teams intake — the fastest-rising expectation (DeskDay is Teams-first)</w:t>
      </w:r>
    </w:p>
    <w:p>
      <w:pPr>
        <w:pStyle w:val="ListBullet"/>
        <w:spacing w:after="60" w:line="276" w:lineRule="auto"/>
      </w:pPr>
      <w:r>
        <w:rPr>
          <w:rFonts w:ascii="Inter" w:hAnsi="Inter"/>
          <w:b w:val="0"/>
          <w:i w:val="0"/>
          <w:color w:val="1A2B45"/>
          <w:sz w:val="21"/>
        </w:rPr>
        <w:t>Mobile app for triage and time entry</w:t>
      </w:r>
    </w:p>
    <w:p>
      <w:pPr>
        <w:spacing w:before="200" w:after="40"/>
      </w:pPr>
      <w:r>
        <w:rPr>
          <w:rFonts w:ascii="Inter" w:hAnsi="Inter"/>
          <w:b/>
          <w:i w:val="0"/>
          <w:color w:val="2D8CFF"/>
          <w:sz w:val="22"/>
        </w:rPr>
        <w:t>Emerging expectations (2025–2026)</w:t>
      </w:r>
    </w:p>
    <w:p>
      <w:pPr>
        <w:pStyle w:val="ListBullet"/>
        <w:spacing w:after="60" w:line="276" w:lineRule="auto"/>
      </w:pPr>
      <w:r>
        <w:rPr>
          <w:rFonts w:ascii="Inter" w:hAnsi="Inter"/>
          <w:b w:val="0"/>
          <w:i w:val="0"/>
          <w:color w:val="1A2B45"/>
          <w:sz w:val="21"/>
        </w:rPr>
        <w:t>AI triage, thread summarization, and draft replies — included in base price, not a $29–$50/agent add-on</w:t>
      </w:r>
    </w:p>
    <w:p>
      <w:pPr>
        <w:pStyle w:val="ListBullet"/>
        <w:spacing w:after="60" w:line="276" w:lineRule="auto"/>
      </w:pPr>
      <w:r>
        <w:rPr>
          <w:rFonts w:ascii="Inter" w:hAnsi="Inter"/>
          <w:b w:val="0"/>
          <w:i w:val="0"/>
          <w:color w:val="1A2B45"/>
          <w:sz w:val="21"/>
        </w:rPr>
        <w:t>CSAT surveys, dispatch/calendar and on-call, approval workflows, chat-first intake, remote session launch from ticket</w:t>
      </w:r>
    </w:p>
    <w:p>
      <w:pPr>
        <w:spacing w:before="280" w:after="80"/>
      </w:pPr>
      <w:r>
        <w:rPr>
          <w:rFonts w:ascii="Inter" w:hAnsi="Inter"/>
          <w:b/>
          <w:i w:val="0"/>
          <w:color w:val="12345F"/>
          <w:sz w:val="26"/>
        </w:rPr>
        <w:t>4.2  What incumbents get wrong (verbatim)</w:t>
      </w:r>
    </w:p>
    <w:tbl>
      <w:tblPr>
        <w:tblStyle w:val="TableGrid"/>
        <w:tblW w:type="auto" w:w="0"/>
        <w:jc w:val="center"/>
        <w:tblLayout w:type="fixed"/>
        <w:tblLook w:firstColumn="1" w:firstRow="1" w:lastColumn="0" w:lastRow="0" w:noHBand="0" w:noVBand="1" w:val="04A0"/>
      </w:tblPr>
      <w:tblGrid>
        <w:gridCol w:w="4824"/>
        <w:gridCol w:w="4824"/>
      </w:tblGrid>
      <w:tr>
        <w:tc>
          <w:tcPr>
            <w:tcW w:type="dxa" w:w="2160"/>
            <w:shd w:val="clear" w:fill="0B2448"/>
            <w:tcMar>
              <w:top w:w="60" w:type="dxa"/>
              <w:bottom w:w="60" w:type="dxa"/>
              <w:start w:w="110" w:type="dxa"/>
              <w:end w:w="110" w:type="dxa"/>
            </w:tcMar>
          </w:tcPr>
          <w:p>
            <w:pPr>
              <w:spacing w:after="0"/>
            </w:pPr>
            <w:r>
              <w:rPr>
                <w:rFonts w:ascii="Inter" w:hAnsi="Inter"/>
                <w:b/>
                <w:i w:val="0"/>
                <w:color w:val="FFFFFF"/>
                <w:sz w:val="19"/>
              </w:rPr>
              <w:t>Tool</w:t>
            </w:r>
          </w:p>
        </w:tc>
        <w:tc>
          <w:tcPr>
            <w:tcW w:type="dxa" w:w="6480"/>
            <w:shd w:val="clear" w:fill="0B2448"/>
            <w:tcMar>
              <w:top w:w="60" w:type="dxa"/>
              <w:bottom w:w="60" w:type="dxa"/>
              <w:start w:w="110" w:type="dxa"/>
              <w:end w:w="110" w:type="dxa"/>
            </w:tcMar>
          </w:tcPr>
          <w:p>
            <w:pPr>
              <w:spacing w:after="0"/>
            </w:pPr>
            <w:r>
              <w:rPr>
                <w:rFonts w:ascii="Inter" w:hAnsi="Inter"/>
                <w:b/>
                <w:i w:val="0"/>
                <w:color w:val="FFFFFF"/>
                <w:sz w:val="19"/>
              </w:rPr>
              <w:t>The wound we exploit</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ConnectWise PSA</w:t>
            </w:r>
          </w:p>
        </w:tc>
        <w:tc>
          <w:tcPr>
            <w:tcW w:type="dxa" w:w="6480"/>
            <w:tcMar>
              <w:top w:w="60" w:type="dxa"/>
              <w:bottom w:w="60" w:type="dxa"/>
              <w:start w:w="110" w:type="dxa"/>
              <w:end w:w="110" w:type="dxa"/>
            </w:tcMar>
          </w:tcPr>
          <w:p>
            <w:pPr>
              <w:spacing w:after="0" w:line="269" w:lineRule="auto"/>
            </w:pPr>
            <w:r>
              <w:rPr>
                <w:rFonts w:ascii="Inter" w:hAnsi="Inter"/>
                <w:b w:val="0"/>
                <w:i w:val="0"/>
                <w:color w:val="1A2B45"/>
                <w:sz w:val="18"/>
              </w:rPr>
              <w:t>“Clunky and outdated… bloated… runs slower.” Time entry “so clunky techs wait until Friday.” ~2-month implementation, weeks of tech training, quote-only pricing, annual lock-in.</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Autotask (Kaseya)</w:t>
            </w:r>
          </w:p>
        </w:tc>
        <w:tc>
          <w:tcPr>
            <w:tcW w:type="dxa" w:w="6480"/>
            <w:tcMar>
              <w:top w:w="60" w:type="dxa"/>
              <w:bottom w:w="60" w:type="dxa"/>
              <w:start w:w="110" w:type="dxa"/>
              <w:end w:w="110" w:type="dxa"/>
            </w:tcMar>
            <w:shd w:val="clear" w:fill="EAF3FF"/>
          </w:tcPr>
          <w:p>
            <w:pPr>
              <w:spacing w:after="0" w:line="269" w:lineRule="auto"/>
            </w:pPr>
            <w:r>
              <w:rPr>
                <w:rFonts w:ascii="Inter" w:hAnsi="Inter"/>
                <w:b w:val="0"/>
                <w:i w:val="0"/>
                <w:color w:val="1A2B45"/>
                <w:sz w:val="18"/>
              </w:rPr>
              <w:t>“Huge and sometimes clunky”; dated UI is a headline con in every review; users begged the 2025 refresh for “a more speedy smooth system, especially for working tickets.”</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HaloPSA</w:t>
            </w:r>
          </w:p>
        </w:tc>
        <w:tc>
          <w:tcPr>
            <w:tcW w:type="dxa" w:w="6480"/>
            <w:tcMar>
              <w:top w:w="60" w:type="dxa"/>
              <w:bottom w:w="60" w:type="dxa"/>
              <w:start w:w="110" w:type="dxa"/>
              <w:end w:w="110" w:type="dxa"/>
            </w:tcMar>
          </w:tcPr>
          <w:p>
            <w:pPr>
              <w:spacing w:after="0" w:line="269" w:lineRule="auto"/>
            </w:pPr>
            <w:r>
              <w:rPr>
                <w:rFonts w:ascii="Inter" w:hAnsi="Inter"/>
                <w:b w:val="0"/>
                <w:i w:val="0"/>
                <w:color w:val="1A2B45"/>
                <w:sz w:val="18"/>
              </w:rPr>
              <w:t>Best-reviewed, still: steep learning curve, the “Halo Tax” (a dedicated admin at &gt;15 techs), 5-seat minimum + £3,200 onboarding fee locks out small shops, ugly default portal, SQL needed for advanced reports.</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Syncro</w:t>
            </w:r>
          </w:p>
        </w:tc>
        <w:tc>
          <w:tcPr>
            <w:tcW w:type="dxa" w:w="6480"/>
            <w:tcMar>
              <w:top w:w="60" w:type="dxa"/>
              <w:bottom w:w="60" w:type="dxa"/>
              <w:start w:w="110" w:type="dxa"/>
              <w:end w:w="110" w:type="dxa"/>
            </w:tcMar>
            <w:shd w:val="clear" w:fill="EAF3FF"/>
          </w:tcPr>
          <w:p>
            <w:pPr>
              <w:spacing w:after="0" w:line="269" w:lineRule="auto"/>
            </w:pPr>
            <w:r>
              <w:rPr>
                <w:rFonts w:ascii="Inter" w:hAnsi="Inter"/>
                <w:b w:val="0"/>
                <w:i w:val="0"/>
                <w:color w:val="1A2B45"/>
                <w:sz w:val="18"/>
              </w:rPr>
              <w:t>“We can no longer work around the limitations and bugs.” Thin PSA depth, weak reporting (“export to Excel for anything beyond basics”). Praised mainly for price simplicity.</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SuperOps</w:t>
            </w:r>
          </w:p>
        </w:tc>
        <w:tc>
          <w:tcPr>
            <w:tcW w:type="dxa" w:w="6480"/>
            <w:tcMar>
              <w:top w:w="60" w:type="dxa"/>
              <w:bottom w:w="60" w:type="dxa"/>
              <w:start w:w="110" w:type="dxa"/>
              <w:end w:w="110" w:type="dxa"/>
            </w:tcMar>
          </w:tcPr>
          <w:p>
            <w:pPr>
              <w:spacing w:after="0" w:line="269" w:lineRule="auto"/>
            </w:pPr>
            <w:r>
              <w:rPr>
                <w:rFonts w:ascii="Inter" w:hAnsi="Inter"/>
                <w:b w:val="0"/>
                <w:i w:val="0"/>
                <w:color w:val="1A2B45"/>
                <w:sz w:val="18"/>
              </w:rPr>
              <w:t>Best modern UI (“fax machine to iPhone” vs CW) but shallow PSA depth, slow bug fixes, ~⅓ the integration catalog, AI “mostly marketing.”</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Atera / BMS / Zendesk / Freshservice</w:t>
            </w:r>
          </w:p>
        </w:tc>
        <w:tc>
          <w:tcPr>
            <w:tcW w:type="dxa" w:w="6480"/>
            <w:tcMar>
              <w:top w:w="60" w:type="dxa"/>
              <w:bottom w:w="60" w:type="dxa"/>
              <w:start w:w="110" w:type="dxa"/>
              <w:end w:w="110" w:type="dxa"/>
            </w:tcMar>
            <w:shd w:val="clear" w:fill="EAF3FF"/>
          </w:tcPr>
          <w:p>
            <w:pPr>
              <w:spacing w:after="0" w:line="269" w:lineRule="auto"/>
            </w:pPr>
            <w:r>
              <w:rPr>
                <w:rFonts w:ascii="Inter" w:hAnsi="Inter"/>
                <w:b w:val="0"/>
                <w:i w:val="0"/>
                <w:color w:val="1A2B45"/>
                <w:sz w:val="18"/>
              </w:rPr>
              <w:t>Light ticketing, reporting gated to higher tiers, read-only users needing full licenses, resync-prone integrations, contract horror stories, AI sold as an add-on, and — for the generic tools — no MSP-native multi-tenancy or agreements at all.</w:t>
            </w:r>
          </w:p>
        </w:tc>
      </w:tr>
    </w:tbl>
    <w:p>
      <w:pPr>
        <w:spacing w:after="120"/>
      </w:pPr>
      <w:r>
        <w:rPr>
          <w:rFonts w:ascii="Inter" w:hAnsi="Inter"/>
          <w:b w:val="0"/>
          <w:i w:val="0"/>
          <w:color w:val="1A2B45"/>
          <w:sz w:val="4"/>
        </w:rPr>
      </w:r>
    </w:p>
    <w:p>
      <w:pPr>
        <w:spacing w:before="280" w:after="80"/>
      </w:pPr>
      <w:r>
        <w:rPr>
          <w:rFonts w:ascii="Inter" w:hAnsi="Inter"/>
          <w:b/>
          <w:i w:val="0"/>
          <w:color w:val="12345F"/>
          <w:sz w:val="26"/>
        </w:rPr>
        <w:t>4.3  Pricing landscape (per tech/agent per month)</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160"/>
            <w:shd w:val="clear" w:fill="0B2448"/>
            <w:tcMar>
              <w:top w:w="60" w:type="dxa"/>
              <w:bottom w:w="60" w:type="dxa"/>
              <w:start w:w="110" w:type="dxa"/>
              <w:end w:w="110" w:type="dxa"/>
            </w:tcMar>
          </w:tcPr>
          <w:p>
            <w:pPr>
              <w:spacing w:after="0"/>
            </w:pPr>
            <w:r>
              <w:rPr>
                <w:rFonts w:ascii="Inter" w:hAnsi="Inter"/>
                <w:b/>
                <w:i w:val="0"/>
                <w:color w:val="FFFFFF"/>
                <w:sz w:val="19"/>
              </w:rPr>
              <w:t>Tool</w:t>
            </w:r>
          </w:p>
        </w:tc>
        <w:tc>
          <w:tcPr>
            <w:tcW w:type="dxa" w:w="2448"/>
            <w:shd w:val="clear" w:fill="0B2448"/>
            <w:tcMar>
              <w:top w:w="60" w:type="dxa"/>
              <w:bottom w:w="60" w:type="dxa"/>
              <w:start w:w="110" w:type="dxa"/>
              <w:end w:w="110" w:type="dxa"/>
            </w:tcMar>
          </w:tcPr>
          <w:p>
            <w:pPr>
              <w:spacing w:after="0"/>
            </w:pPr>
            <w:r>
              <w:rPr>
                <w:rFonts w:ascii="Inter" w:hAnsi="Inter"/>
                <w:b/>
                <w:i w:val="0"/>
                <w:color w:val="FFFFFF"/>
                <w:sz w:val="19"/>
              </w:rPr>
              <w:t>Price</w:t>
            </w:r>
          </w:p>
        </w:tc>
        <w:tc>
          <w:tcPr>
            <w:tcW w:type="dxa" w:w="4032"/>
            <w:shd w:val="clear" w:fill="0B2448"/>
            <w:tcMar>
              <w:top w:w="60" w:type="dxa"/>
              <w:bottom w:w="60" w:type="dxa"/>
              <w:start w:w="110" w:type="dxa"/>
              <w:end w:w="110" w:type="dxa"/>
            </w:tcMar>
          </w:tcPr>
          <w:p>
            <w:pPr>
              <w:spacing w:after="0"/>
            </w:pPr>
            <w:r>
              <w:rPr>
                <w:rFonts w:ascii="Inter" w:hAnsi="Inter"/>
                <w:b/>
                <w:i w:val="0"/>
                <w:color w:val="FFFFFF"/>
                <w:sz w:val="19"/>
              </w:rPr>
              <w:t>Model notes</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ConnectWise PSA</w:t>
            </w:r>
          </w:p>
        </w:tc>
        <w:tc>
          <w:tcPr>
            <w:tcW w:type="dxa" w:w="2448"/>
            <w:tcMar>
              <w:top w:w="60" w:type="dxa"/>
              <w:bottom w:w="60" w:type="dxa"/>
              <w:start w:w="110" w:type="dxa"/>
              <w:end w:w="110" w:type="dxa"/>
            </w:tcMar>
          </w:tcPr>
          <w:p>
            <w:pPr>
              <w:spacing w:after="0" w:line="269" w:lineRule="auto"/>
            </w:pPr>
            <w:r>
              <w:rPr>
                <w:rFonts w:ascii="Inter" w:hAnsi="Inter"/>
                <w:b w:val="0"/>
                <w:i w:val="0"/>
                <w:color w:val="1A2B45"/>
                <w:sz w:val="18"/>
              </w:rPr>
              <w:t>Quote (~$25–35 est.)</w:t>
            </w:r>
          </w:p>
        </w:tc>
        <w:tc>
          <w:tcPr>
            <w:tcW w:type="dxa" w:w="4032"/>
            <w:tcMar>
              <w:top w:w="60" w:type="dxa"/>
              <w:bottom w:w="60" w:type="dxa"/>
              <w:start w:w="110" w:type="dxa"/>
              <w:end w:w="110" w:type="dxa"/>
            </w:tcMar>
          </w:tcPr>
          <w:p>
            <w:pPr>
              <w:spacing w:after="0" w:line="269" w:lineRule="auto"/>
            </w:pPr>
            <w:r>
              <w:rPr>
                <w:rFonts w:ascii="Inter" w:hAnsi="Inter"/>
                <w:b w:val="0"/>
                <w:i w:val="0"/>
                <w:color w:val="1A2B45"/>
                <w:sz w:val="18"/>
              </w:rPr>
              <w:t>Annual contract; bundles $9K–$85K/yr</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Autotask</w:t>
            </w:r>
          </w:p>
        </w:tc>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8"/>
              </w:rPr>
              <w:t>Quote (~$40–70 est.)</w:t>
            </w:r>
          </w:p>
        </w:tc>
        <w:tc>
          <w:tcPr>
            <w:tcW w:type="dxa" w:w="4032"/>
            <w:tcMar>
              <w:top w:w="60" w:type="dxa"/>
              <w:bottom w:w="60" w:type="dxa"/>
              <w:start w:w="110" w:type="dxa"/>
              <w:end w:w="110" w:type="dxa"/>
            </w:tcMar>
            <w:shd w:val="clear" w:fill="EAF3FF"/>
          </w:tcPr>
          <w:p>
            <w:pPr>
              <w:spacing w:after="0" w:line="269" w:lineRule="auto"/>
            </w:pPr>
            <w:r>
              <w:rPr>
                <w:rFonts w:ascii="Inter" w:hAnsi="Inter"/>
                <w:b w:val="0"/>
                <w:i w:val="0"/>
                <w:color w:val="1A2B45"/>
                <w:sz w:val="18"/>
              </w:rPr>
              <w:t>Kaseya-bundled, annual</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HaloPSA</w:t>
            </w:r>
          </w:p>
        </w:tc>
        <w:tc>
          <w:tcPr>
            <w:tcW w:type="dxa" w:w="2448"/>
            <w:tcMar>
              <w:top w:w="60" w:type="dxa"/>
              <w:bottom w:w="60" w:type="dxa"/>
              <w:start w:w="110" w:type="dxa"/>
              <w:end w:w="110" w:type="dxa"/>
            </w:tcMar>
          </w:tcPr>
          <w:p>
            <w:pPr>
              <w:spacing w:after="0" w:line="269" w:lineRule="auto"/>
            </w:pPr>
            <w:r>
              <w:rPr>
                <w:rFonts w:ascii="Inter" w:hAnsi="Inter"/>
                <w:b w:val="0"/>
                <w:i w:val="0"/>
                <w:color w:val="1A2B45"/>
                <w:sz w:val="18"/>
              </w:rPr>
              <w:t>£69 (~$89); tiers $35–$109</w:t>
            </w:r>
          </w:p>
        </w:tc>
        <w:tc>
          <w:tcPr>
            <w:tcW w:type="dxa" w:w="4032"/>
            <w:tcMar>
              <w:top w:w="60" w:type="dxa"/>
              <w:bottom w:w="60" w:type="dxa"/>
              <w:start w:w="110" w:type="dxa"/>
              <w:end w:w="110" w:type="dxa"/>
            </w:tcMar>
          </w:tcPr>
          <w:p>
            <w:pPr>
              <w:spacing w:after="0" w:line="269" w:lineRule="auto"/>
            </w:pPr>
            <w:r>
              <w:rPr>
                <w:rFonts w:ascii="Inter" w:hAnsi="Inter"/>
                <w:b w:val="0"/>
                <w:i w:val="0"/>
                <w:color w:val="1A2B45"/>
                <w:sz w:val="18"/>
              </w:rPr>
              <w:t>5-seat minimum; all features included</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Syncro</w:t>
            </w:r>
          </w:p>
        </w:tc>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8"/>
              </w:rPr>
              <w:t>$129–$179</w:t>
            </w:r>
          </w:p>
        </w:tc>
        <w:tc>
          <w:tcPr>
            <w:tcW w:type="dxa" w:w="4032"/>
            <w:tcMar>
              <w:top w:w="60" w:type="dxa"/>
              <w:bottom w:w="60" w:type="dxa"/>
              <w:start w:w="110" w:type="dxa"/>
              <w:end w:w="110" w:type="dxa"/>
            </w:tcMar>
            <w:shd w:val="clear" w:fill="EAF3FF"/>
          </w:tcPr>
          <w:p>
            <w:pPr>
              <w:spacing w:after="0" w:line="269" w:lineRule="auto"/>
            </w:pPr>
            <w:r>
              <w:rPr>
                <w:rFonts w:ascii="Inter" w:hAnsi="Inter"/>
                <w:b w:val="0"/>
                <w:i w:val="0"/>
                <w:color w:val="1A2B45"/>
                <w:sz w:val="18"/>
              </w:rPr>
              <w:t>Unlimited endpoints, month-to-month — loved for it</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SuperOps</w:t>
            </w:r>
          </w:p>
        </w:tc>
        <w:tc>
          <w:tcPr>
            <w:tcW w:type="dxa" w:w="2448"/>
            <w:tcMar>
              <w:top w:w="60" w:type="dxa"/>
              <w:bottom w:w="60" w:type="dxa"/>
              <w:start w:w="110" w:type="dxa"/>
              <w:end w:w="110" w:type="dxa"/>
            </w:tcMar>
          </w:tcPr>
          <w:p>
            <w:pPr>
              <w:spacing w:after="0" w:line="269" w:lineRule="auto"/>
            </w:pPr>
            <w:r>
              <w:rPr>
                <w:rFonts w:ascii="Inter" w:hAnsi="Inter"/>
                <w:b w:val="0"/>
                <w:i w:val="0"/>
                <w:color w:val="1A2B45"/>
                <w:sz w:val="18"/>
              </w:rPr>
              <w:t>$79–$179 + endpoints</w:t>
            </w:r>
          </w:p>
        </w:tc>
        <w:tc>
          <w:tcPr>
            <w:tcW w:type="dxa" w:w="4032"/>
            <w:tcMar>
              <w:top w:w="60" w:type="dxa"/>
              <w:bottom w:w="60" w:type="dxa"/>
              <w:start w:w="110" w:type="dxa"/>
              <w:end w:w="110" w:type="dxa"/>
            </w:tcMar>
          </w:tcPr>
          <w:p>
            <w:pPr>
              <w:spacing w:after="0" w:line="269" w:lineRule="auto"/>
            </w:pPr>
            <w:r>
              <w:rPr>
                <w:rFonts w:ascii="Inter" w:hAnsi="Inter"/>
                <w:b w:val="0"/>
                <w:i w:val="0"/>
                <w:color w:val="1A2B45"/>
                <w:sz w:val="18"/>
              </w:rPr>
              <w:t>Per-tech + per-endpoint math</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Atera</w:t>
            </w:r>
          </w:p>
        </w:tc>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8"/>
              </w:rPr>
              <w:t>$129–$209</w:t>
            </w:r>
          </w:p>
        </w:tc>
        <w:tc>
          <w:tcPr>
            <w:tcW w:type="dxa" w:w="4032"/>
            <w:tcMar>
              <w:top w:w="60" w:type="dxa"/>
              <w:bottom w:w="60" w:type="dxa"/>
              <w:start w:w="110" w:type="dxa"/>
              <w:end w:w="110" w:type="dxa"/>
            </w:tcMar>
            <w:shd w:val="clear" w:fill="EAF3FF"/>
          </w:tcPr>
          <w:p>
            <w:pPr>
              <w:spacing w:after="0" w:line="269" w:lineRule="auto"/>
            </w:pPr>
            <w:r>
              <w:rPr>
                <w:rFonts w:ascii="Inter" w:hAnsi="Inter"/>
                <w:b w:val="0"/>
                <w:i w:val="0"/>
                <w:color w:val="1A2B45"/>
                <w:sz w:val="18"/>
              </w:rPr>
              <w:t>Unlimited endpoints; AI copilot extra</w:t>
            </w:r>
          </w:p>
        </w:tc>
      </w:tr>
      <w:tr>
        <w:tc>
          <w:tcPr>
            <w:tcW w:type="dxa" w:w="2160"/>
            <w:tcMar>
              <w:top w:w="60" w:type="dxa"/>
              <w:bottom w:w="60" w:type="dxa"/>
              <w:start w:w="110" w:type="dxa"/>
              <w:end w:w="110" w:type="dxa"/>
            </w:tcMar>
          </w:tcPr>
          <w:p>
            <w:pPr>
              <w:spacing w:after="0" w:line="269" w:lineRule="auto"/>
            </w:pPr>
            <w:r>
              <w:rPr>
                <w:rFonts w:ascii="Inter" w:hAnsi="Inter"/>
                <w:b w:val="0"/>
                <w:i w:val="0"/>
                <w:color w:val="1A2B45"/>
                <w:sz w:val="18"/>
              </w:rPr>
              <w:t>DeskDay</w:t>
            </w:r>
          </w:p>
        </w:tc>
        <w:tc>
          <w:tcPr>
            <w:tcW w:type="dxa" w:w="2448"/>
            <w:tcMar>
              <w:top w:w="60" w:type="dxa"/>
              <w:bottom w:w="60" w:type="dxa"/>
              <w:start w:w="110" w:type="dxa"/>
              <w:end w:w="110" w:type="dxa"/>
            </w:tcMar>
          </w:tcPr>
          <w:p>
            <w:pPr>
              <w:spacing w:after="0" w:line="269" w:lineRule="auto"/>
            </w:pPr>
            <w:r>
              <w:rPr>
                <w:rFonts w:ascii="Inter" w:hAnsi="Inter"/>
                <w:b w:val="0"/>
                <w:i w:val="0"/>
                <w:color w:val="1A2B45"/>
                <w:sz w:val="18"/>
              </w:rPr>
              <w:t>from $59</w:t>
            </w:r>
          </w:p>
        </w:tc>
        <w:tc>
          <w:tcPr>
            <w:tcW w:type="dxa" w:w="4032"/>
            <w:tcMar>
              <w:top w:w="60" w:type="dxa"/>
              <w:bottom w:w="60" w:type="dxa"/>
              <w:start w:w="110" w:type="dxa"/>
              <w:end w:w="110" w:type="dxa"/>
            </w:tcMar>
          </w:tcPr>
          <w:p>
            <w:pPr>
              <w:spacing w:after="0" w:line="269" w:lineRule="auto"/>
            </w:pPr>
            <w:r>
              <w:rPr>
                <w:rFonts w:ascii="Inter" w:hAnsi="Inter"/>
                <w:b w:val="0"/>
                <w:i w:val="0"/>
                <w:color w:val="1A2B45"/>
                <w:sz w:val="18"/>
              </w:rPr>
              <w:t>Cheapest MSP-native; Teams-first</w:t>
            </w:r>
          </w:p>
        </w:tc>
      </w:tr>
      <w:tr>
        <w:tc>
          <w:tcPr>
            <w:tcW w:type="dxa" w:w="2160"/>
            <w:tcMar>
              <w:top w:w="60" w:type="dxa"/>
              <w:bottom w:w="60" w:type="dxa"/>
              <w:start w:w="110" w:type="dxa"/>
              <w:end w:w="110" w:type="dxa"/>
            </w:tcMar>
            <w:shd w:val="clear" w:fill="EAF3FF"/>
          </w:tcPr>
          <w:p>
            <w:pPr>
              <w:spacing w:after="0" w:line="269" w:lineRule="auto"/>
            </w:pPr>
            <w:r>
              <w:rPr>
                <w:rFonts w:ascii="Inter" w:hAnsi="Inter"/>
                <w:b w:val="0"/>
                <w:i w:val="0"/>
                <w:color w:val="1A2B45"/>
                <w:sz w:val="18"/>
              </w:rPr>
              <w:t>Zendesk / Freshservice</w:t>
            </w:r>
          </w:p>
        </w:tc>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8"/>
              </w:rPr>
              <w:t>$19–$115 / $19+</w:t>
            </w:r>
          </w:p>
        </w:tc>
        <w:tc>
          <w:tcPr>
            <w:tcW w:type="dxa" w:w="4032"/>
            <w:tcMar>
              <w:top w:w="60" w:type="dxa"/>
              <w:bottom w:w="60" w:type="dxa"/>
              <w:start w:w="110" w:type="dxa"/>
              <w:end w:w="110" w:type="dxa"/>
            </w:tcMar>
            <w:shd w:val="clear" w:fill="EAF3FF"/>
          </w:tcPr>
          <w:p>
            <w:pPr>
              <w:spacing w:after="0" w:line="269" w:lineRule="auto"/>
            </w:pPr>
            <w:r>
              <w:rPr>
                <w:rFonts w:ascii="Inter" w:hAnsi="Inter"/>
                <w:b w:val="0"/>
                <w:i w:val="0"/>
                <w:color w:val="1A2B45"/>
                <w:sz w:val="18"/>
              </w:rPr>
              <w:t>Generic; add-ons and AI surcharges pile up</w:t>
            </w:r>
          </w:p>
        </w:tc>
      </w:tr>
    </w:tbl>
    <w:p>
      <w:pPr>
        <w:spacing w:after="120"/>
      </w:pPr>
      <w:r>
        <w:rPr>
          <w:rFonts w:ascii="Inter" w:hAnsi="Inter"/>
          <w:b w:val="0"/>
          <w:i w:val="0"/>
          <w:color w:val="1A2B45"/>
          <w:sz w:val="4"/>
        </w:rPr>
      </w:r>
    </w:p>
    <w:p>
      <w:pPr>
        <w:spacing w:after="120" w:line="283" w:lineRule="auto"/>
      </w:pPr>
      <w:r>
        <w:rPr>
          <w:rFonts w:ascii="Inter" w:hAnsi="Inter"/>
          <w:b w:val="0"/>
          <w:i w:val="0"/>
          <w:color w:val="1A2B45"/>
          <w:sz w:val="21"/>
        </w:rPr>
        <w:t>Preference signal is loud: published pricing (HaloPSA’s most-praised trait), per-tech with unlimited endpoints (Syncro/Atera’s core appeal), monthly terms, and all-inclusive tiers. Quote calls and lock-ins are resented.</w:t>
      </w:r>
    </w:p>
    <w:p>
      <w:pPr>
        <w:spacing w:before="280" w:after="80"/>
      </w:pPr>
      <w:r>
        <w:rPr>
          <w:rFonts w:ascii="Inter" w:hAnsi="Inter"/>
          <w:b/>
          <w:i w:val="0"/>
          <w:color w:val="12345F"/>
          <w:sz w:val="26"/>
        </w:rPr>
        <w:t>4.4  The whitespace we occupy</w:t>
      </w:r>
    </w:p>
    <w:p>
      <w:pPr>
        <w:pStyle w:val="ListBullet"/>
        <w:spacing w:after="60" w:line="276" w:lineRule="auto"/>
      </w:pPr>
      <w:r>
        <w:rPr>
          <w:rFonts w:ascii="Inter" w:hAnsi="Inter"/>
          <w:b/>
          <w:i w:val="0"/>
          <w:color w:val="12345F"/>
          <w:sz w:val="21"/>
        </w:rPr>
        <w:t xml:space="preserve">The 1–25 tech shop, taken seriously. </w:t>
      </w:r>
      <w:r>
        <w:rPr>
          <w:rFonts w:ascii="Inter" w:hAnsi="Inter"/>
          <w:b w:val="0"/>
          <w:i w:val="0"/>
          <w:color w:val="1A2B45"/>
          <w:sz w:val="21"/>
        </w:rPr>
        <w:t>Every incumbent either locks them out, overserves them into complexity, or underserves them on PSA depth.</w:t>
      </w:r>
    </w:p>
    <w:p>
      <w:pPr>
        <w:pStyle w:val="ListBullet"/>
        <w:spacing w:after="60" w:line="276" w:lineRule="auto"/>
      </w:pPr>
      <w:r>
        <w:rPr>
          <w:rFonts w:ascii="Inter" w:hAnsi="Inter"/>
          <w:b/>
          <w:i w:val="0"/>
          <w:color w:val="12345F"/>
          <w:sz w:val="21"/>
        </w:rPr>
        <w:t xml:space="preserve">Architecture, not integrations. </w:t>
      </w:r>
      <w:r>
        <w:rPr>
          <w:rFonts w:ascii="Inter" w:hAnsi="Inter"/>
          <w:b w:val="0"/>
          <w:i w:val="0"/>
          <w:color w:val="1A2B45"/>
          <w:sz w:val="21"/>
        </w:rPr>
        <w:t>Owning Milepost (RMM) and Coastmark (ledger) deletes the two most-hated categories: sync jobs and billing reconciliation. Alert→ticket→time→invoice with zero connectors.</w:t>
      </w:r>
    </w:p>
    <w:p>
      <w:pPr>
        <w:pStyle w:val="ListBullet"/>
        <w:spacing w:after="60" w:line="276" w:lineRule="auto"/>
      </w:pPr>
      <w:r>
        <w:rPr>
          <w:rFonts w:ascii="Inter" w:hAnsi="Inter"/>
          <w:b/>
          <w:i w:val="0"/>
          <w:color w:val="12345F"/>
          <w:sz w:val="21"/>
        </w:rPr>
        <w:t xml:space="preserve">Interaction design as the product. </w:t>
      </w:r>
      <w:r>
        <w:rPr>
          <w:rFonts w:ascii="Inter" w:hAnsi="Inter"/>
          <w:b w:val="0"/>
          <w:i w:val="0"/>
          <w:color w:val="1A2B45"/>
          <w:sz w:val="21"/>
        </w:rPr>
        <w:t>No MSP tool delivers Linear-grade speed, a command palette, full keyboard control, and a clean dark UI. Techs live in the queue eight hours a day; the contrast wins demos by itself.</w:t>
      </w:r>
    </w:p>
    <w:p>
      <w:pPr>
        <w:pStyle w:val="ListBullet"/>
        <w:spacing w:after="60" w:line="276" w:lineRule="auto"/>
      </w:pPr>
      <w:r>
        <w:rPr>
          <w:rFonts w:ascii="Inter" w:hAnsi="Inter"/>
          <w:b/>
          <w:i w:val="0"/>
          <w:color w:val="12345F"/>
          <w:sz w:val="21"/>
        </w:rPr>
        <w:t xml:space="preserve">Neutralize switching costs. </w:t>
      </w:r>
      <w:r>
        <w:rPr>
          <w:rFonts w:ascii="Inter" w:hAnsi="Inter"/>
          <w:b w:val="0"/>
          <w:i w:val="0"/>
          <w:color w:val="1A2B45"/>
          <w:sz w:val="21"/>
        </w:rPr>
        <w:t>Free guided importers from ConnectWise, Autotask, Syncro, and HaloPSA — the incumbents’ only real moat.</w:t>
      </w:r>
    </w:p>
    <w:p>
      <w:r>
        <w:br w:type="page"/>
      </w:r>
    </w:p>
    <w:p>
      <w:pPr>
        <w:spacing w:before="40" w:after="0"/>
      </w:pPr>
      <w:r>
        <w:rPr>
          <w:rFonts w:ascii="Inter" w:hAnsi="Inter"/>
          <w:b/>
          <w:i w:val="0"/>
          <w:color w:val="54A8FF"/>
          <w:sz w:val="17"/>
        </w:rPr>
        <w:t>SECTION 5</w:t>
      </w:r>
    </w:p>
    <w:p>
      <w:pPr>
        <w:spacing w:before="440" w:after="160"/>
        <w:pBdr>
          <w:bottom w:val="single" w:sz="14" w:space="6" w:color="2D8CFF"/>
        </w:pBdr>
      </w:pPr>
      <w:r>
        <w:rPr>
          <w:rFonts w:ascii="Inter" w:hAnsi="Inter"/>
          <w:b/>
          <w:i w:val="0"/>
          <w:color w:val="0B2448"/>
          <w:sz w:val="34"/>
        </w:rPr>
        <w:t>Product Concept</w:t>
      </w:r>
    </w:p>
    <w:p>
      <w:pPr>
        <w:spacing w:before="280" w:after="80"/>
      </w:pPr>
      <w:r>
        <w:rPr>
          <w:rFonts w:ascii="Inter" w:hAnsi="Inter"/>
          <w:b/>
          <w:i w:val="0"/>
          <w:color w:val="12345F"/>
          <w:sz w:val="26"/>
        </w:rPr>
        <w:t>5.1  Positioning statement</w:t>
      </w:r>
    </w:p>
    <w:p>
      <w:pPr>
        <w:spacing w:after="120" w:line="283" w:lineRule="auto"/>
      </w:pPr>
      <w:r>
        <w:rPr>
          <w:rFonts w:ascii="Inter" w:hAnsi="Inter"/>
          <w:b w:val="0"/>
          <w:i w:val="0"/>
          <w:color w:val="1A2B45"/>
          <w:sz w:val="21"/>
        </w:rPr>
        <w:t>For MSPs of 1–25 technicians who live in the ticket queue all day, Safeharbor is the help desk in the 8 West IT suite that turns every client signal — email, portal, chat, or Milepost alert — into a resolved, invoiced outcome with the fewest clicks in the industry. Unlike ConnectWise and Autotask, it is fast, quiet, and learnable in an afternoon. Unlike Syncro and Atera, it does not sacrifice SLA, contract, or reporting depth. Unlike HaloPSA, it needs no dedicated admin and no minimum seat count.</w:t>
      </w:r>
    </w:p>
    <w:p>
      <w:pPr>
        <w:spacing w:before="280" w:after="80"/>
      </w:pPr>
      <w:r>
        <w:rPr>
          <w:rFonts w:ascii="Inter" w:hAnsi="Inter"/>
          <w:b/>
          <w:i w:val="0"/>
          <w:color w:val="12345F"/>
          <w:sz w:val="26"/>
        </w:rPr>
        <w:t>5.2  The 8 West Standard (non-negotiable UX rules)</w:t>
      </w:r>
    </w:p>
    <w:p>
      <w:pPr>
        <w:pStyle w:val="ListBullet"/>
        <w:spacing w:after="60" w:line="276" w:lineRule="auto"/>
      </w:pPr>
      <w:r>
        <w:rPr>
          <w:rFonts w:ascii="Inter" w:hAnsi="Inter"/>
          <w:b/>
          <w:i w:val="0"/>
          <w:color w:val="12345F"/>
          <w:sz w:val="21"/>
        </w:rPr>
        <w:t xml:space="preserve">Speed is a feature. </w:t>
      </w:r>
      <w:r>
        <w:rPr>
          <w:rFonts w:ascii="Inter" w:hAnsi="Inter"/>
          <w:b w:val="0"/>
          <w:i w:val="0"/>
          <w:color w:val="1A2B45"/>
          <w:sz w:val="21"/>
        </w:rPr>
        <w:t>Interactions feel instant (optimistic UI); anything over 300ms gets a skeleton or a progress cue — never a freeze.</w:t>
      </w:r>
    </w:p>
    <w:p>
      <w:pPr>
        <w:pStyle w:val="ListBullet"/>
        <w:spacing w:after="60" w:line="276" w:lineRule="auto"/>
      </w:pPr>
      <w:r>
        <w:rPr>
          <w:rFonts w:ascii="Inter" w:hAnsi="Inter"/>
          <w:b/>
          <w:i w:val="0"/>
          <w:color w:val="12345F"/>
          <w:sz w:val="21"/>
        </w:rPr>
        <w:t xml:space="preserve">Command palette first. </w:t>
      </w:r>
      <w:r>
        <w:rPr>
          <w:rFonts w:ascii="Inter" w:hAnsi="Inter"/>
          <w:b w:val="0"/>
          <w:i w:val="0"/>
          <w:color w:val="1A2B45"/>
          <w:sz w:val="21"/>
        </w:rPr>
        <w:t>Ctrl/Cmd+K reaches every ticket, client, and action with fuzzy search. Full keyboard model: S status, P priority, A assign, E time entry.</w:t>
      </w:r>
    </w:p>
    <w:p>
      <w:pPr>
        <w:pStyle w:val="ListBullet"/>
        <w:spacing w:after="60" w:line="276" w:lineRule="auto"/>
      </w:pPr>
      <w:r>
        <w:rPr>
          <w:rFonts w:ascii="Inter" w:hAnsi="Inter"/>
          <w:b/>
          <w:i w:val="0"/>
          <w:color w:val="12345F"/>
          <w:sz w:val="21"/>
        </w:rPr>
        <w:t xml:space="preserve">Progressive disclosure. </w:t>
      </w:r>
      <w:r>
        <w:rPr>
          <w:rFonts w:ascii="Inter" w:hAnsi="Inter"/>
          <w:b w:val="0"/>
          <w:i w:val="0"/>
          <w:color w:val="1A2B45"/>
          <w:sz w:val="21"/>
        </w:rPr>
        <w:t>Dense, calm lists; details reveal on hover/expand; inline editing everywhere; modals are a last resort.</w:t>
      </w:r>
    </w:p>
    <w:p>
      <w:pPr>
        <w:pStyle w:val="ListBullet"/>
        <w:spacing w:after="60" w:line="276" w:lineRule="auto"/>
      </w:pPr>
      <w:r>
        <w:rPr>
          <w:rFonts w:ascii="Inter" w:hAnsi="Inter"/>
          <w:b/>
          <w:i w:val="0"/>
          <w:color w:val="12345F"/>
          <w:sz w:val="21"/>
        </w:rPr>
        <w:t xml:space="preserve">Dark-mode-first. </w:t>
      </w:r>
      <w:r>
        <w:rPr>
          <w:rFonts w:ascii="Inter" w:hAnsi="Inter"/>
          <w:b w:val="0"/>
          <w:i w:val="0"/>
          <w:color w:val="1A2B45"/>
          <w:sz w:val="21"/>
        </w:rPr>
        <w:t>The navy palette is the product. Light mode is a theme, not the default.</w:t>
      </w:r>
    </w:p>
    <w:p>
      <w:pPr>
        <w:pStyle w:val="ListBullet"/>
        <w:spacing w:after="60" w:line="276" w:lineRule="auto"/>
      </w:pPr>
      <w:r>
        <w:rPr>
          <w:rFonts w:ascii="Inter" w:hAnsi="Inter"/>
          <w:b/>
          <w:i w:val="0"/>
          <w:color w:val="12345F"/>
          <w:sz w:val="21"/>
        </w:rPr>
        <w:t xml:space="preserve">Time capture without thinking. </w:t>
      </w:r>
      <w:r>
        <w:rPr>
          <w:rFonts w:ascii="Inter" w:hAnsi="Inter"/>
          <w:b w:val="0"/>
          <w:i w:val="0"/>
          <w:color w:val="1A2B45"/>
          <w:sz w:val="21"/>
        </w:rPr>
        <w:t>A visible timer on every ticket plus automatic work-log suggestions; one click turns work into billable time. This directly attacks the Friday-batch-entry revenue leak.</w:t>
      </w:r>
    </w:p>
    <w:p>
      <w:pPr>
        <w:pStyle w:val="ListBullet"/>
        <w:spacing w:after="60" w:line="276" w:lineRule="auto"/>
      </w:pPr>
      <w:r>
        <w:rPr>
          <w:rFonts w:ascii="Inter" w:hAnsi="Inter"/>
          <w:b/>
          <w:i w:val="0"/>
          <w:color w:val="12345F"/>
          <w:sz w:val="21"/>
        </w:rPr>
        <w:t xml:space="preserve">AI included, inline, invisible. </w:t>
      </w:r>
      <w:r>
        <w:rPr>
          <w:rFonts w:ascii="Inter" w:hAnsi="Inter"/>
          <w:b w:val="0"/>
          <w:i w:val="0"/>
          <w:color w:val="1A2B45"/>
          <w:sz w:val="21"/>
        </w:rPr>
        <w:t>Triage suggestions, thread summaries, and draft replies appear where work happens — no add-on SKU, no sparkle-bait.</w:t>
      </w:r>
    </w:p>
    <w:p>
      <w:pPr>
        <w:pStyle w:val="ListBullet"/>
        <w:spacing w:after="60" w:line="276" w:lineRule="auto"/>
      </w:pPr>
      <w:r>
        <w:rPr>
          <w:rFonts w:ascii="Inter" w:hAnsi="Inter"/>
          <w:b/>
          <w:i w:val="0"/>
          <w:color w:val="12345F"/>
          <w:sz w:val="21"/>
        </w:rPr>
        <w:t xml:space="preserve">Every feature earns its click. </w:t>
      </w:r>
      <w:r>
        <w:rPr>
          <w:rFonts w:ascii="Inter" w:hAnsi="Inter"/>
          <w:b w:val="0"/>
          <w:i w:val="0"/>
          <w:color w:val="1A2B45"/>
          <w:sz w:val="21"/>
        </w:rPr>
        <w:t>A standing complexity budget: nothing ships that adds a click to the daily queue workflow without removing two elsewhere.</w:t>
      </w:r>
    </w:p>
    <w:p>
      <w:pPr>
        <w:spacing w:before="280" w:after="80"/>
      </w:pPr>
      <w:r>
        <w:rPr>
          <w:rFonts w:ascii="Inter" w:hAnsi="Inter"/>
          <w:b/>
          <w:i w:val="0"/>
          <w:color w:val="12345F"/>
          <w:sz w:val="26"/>
        </w:rPr>
        <w:t>5.3  Feature blueprint (mapped to rollout phases)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0B2448"/>
            <w:tcMar>
              <w:top w:w="60" w:type="dxa"/>
              <w:bottom w:w="60" w:type="dxa"/>
              <w:start w:w="110" w:type="dxa"/>
              <w:end w:w="110" w:type="dxa"/>
            </w:tcMar>
          </w:tcPr>
          <w:p>
            <w:pPr>
              <w:spacing w:after="0"/>
            </w:pPr>
            <w:r>
              <w:rPr>
                <w:rFonts w:ascii="Inter" w:hAnsi="Inter"/>
                <w:b/>
                <w:i w:val="0"/>
                <w:color w:val="FFFFFF"/>
                <w:sz w:val="19"/>
              </w:rPr>
              <w:t>Module</w:t>
            </w:r>
          </w:p>
        </w:tc>
        <w:tc>
          <w:tcPr>
            <w:tcW w:type="dxa" w:w="5328"/>
            <w:shd w:val="clear" w:fill="0B2448"/>
            <w:tcMar>
              <w:top w:w="60" w:type="dxa"/>
              <w:bottom w:w="60" w:type="dxa"/>
              <w:start w:w="110" w:type="dxa"/>
              <w:end w:w="110" w:type="dxa"/>
            </w:tcMar>
          </w:tcPr>
          <w:p>
            <w:pPr>
              <w:spacing w:after="0"/>
            </w:pPr>
            <w:r>
              <w:rPr>
                <w:rFonts w:ascii="Inter" w:hAnsi="Inter"/>
                <w:b/>
                <w:i w:val="0"/>
                <w:color w:val="FFFFFF"/>
                <w:sz w:val="19"/>
              </w:rPr>
              <w:t>Scope</w:t>
            </w:r>
          </w:p>
        </w:tc>
        <w:tc>
          <w:tcPr>
            <w:tcW w:type="dxa" w:w="1296"/>
            <w:shd w:val="clear" w:fill="0B2448"/>
            <w:tcMar>
              <w:top w:w="60" w:type="dxa"/>
              <w:bottom w:w="60" w:type="dxa"/>
              <w:start w:w="110" w:type="dxa"/>
              <w:end w:w="110" w:type="dxa"/>
            </w:tcMar>
          </w:tcPr>
          <w:p>
            <w:pPr>
              <w:spacing w:after="0"/>
            </w:pPr>
            <w:r>
              <w:rPr>
                <w:rFonts w:ascii="Inter" w:hAnsi="Inter"/>
                <w:b/>
                <w:i w:val="0"/>
                <w:color w:val="FFFFFF"/>
                <w:sz w:val="19"/>
              </w:rPr>
              <w:t>Phase</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Intake</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Email-to-ticket (custom domain), client portal, widget; Teams intake in P3</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P1–P3</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Ticket core</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Queues, statuses, priorities, assignment, tags, internal notes, attachments, merge/link, @mentions</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P1</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Clients &amp; contacts</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Multi-tenant client records, contacts, per-client defaults and routing</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P1</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Time &amp; billing</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One-click timers, auto work-log, billable flags, rates; Coastmark invoice handoff</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P2</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SLAs</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Policies, business hours, breach warnings (gold) and healthy states (mint)</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P2</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Client portal</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White-label submit/status/KB; invoices visible via Coastmark</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P2</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Knowledge base</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Internal + client-facing articles, suggested answers</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P2–P3</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Milepost bridge</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Alert→ticket with asset context; device panel on ticket; remote session launch</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P2</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Westy — suite assistant</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The 8 West IT 365 chatbot (shared with Milepost): onboarding tour on first sign-in + advise-only how-to helper on every page; drafting joins P3</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P1</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Suite SSO</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8 West ID sign-in via the shared suite cookie (Milepost parity); full OIDC flow later</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P1</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Automation</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Visual rule builder: routing, escalation, status, notifications, templates, recurring tickets</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P3</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AI assist</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Triage/classify, thread summary, draft reply, KB suggestions — included (Westy grows these)</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P3</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Reporting</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SLA attainment, first-response, aging, utilization, client health dashboards</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P3</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CSAT &amp; surveys</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One-tap resolution surveys, trend reporting</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P3</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Platform</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Public API, webhooks, importers (CW/Autotask/Syncro/Halo)</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P3</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Mobile</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iOS/Android triage, reply, timer</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P4</w:t>
            </w:r>
          </w:p>
        </w:tc>
      </w:tr>
      <w:tr>
        <w:tc>
          <w:tcPr>
            <w:tcW w:type="dxa" w:w="2016"/>
            <w:tcMar>
              <w:top w:w="60" w:type="dxa"/>
              <w:bottom w:w="60" w:type="dxa"/>
              <w:start w:w="110" w:type="dxa"/>
              <w:end w:w="110" w:type="dxa"/>
            </w:tcMar>
          </w:tcPr>
          <w:p>
            <w:pPr>
              <w:spacing w:after="0" w:line="269" w:lineRule="auto"/>
            </w:pPr>
            <w:r>
              <w:rPr>
                <w:rFonts w:ascii="Inter" w:hAnsi="Inter"/>
                <w:b w:val="0"/>
                <w:i w:val="0"/>
                <w:color w:val="1A2B45"/>
                <w:sz w:val="18"/>
              </w:rPr>
              <w:t>Dispatch</w:t>
            </w:r>
          </w:p>
        </w:tc>
        <w:tc>
          <w:tcPr>
            <w:tcW w:type="dxa" w:w="5328"/>
            <w:tcMar>
              <w:top w:w="60" w:type="dxa"/>
              <w:bottom w:w="60" w:type="dxa"/>
              <w:start w:w="110" w:type="dxa"/>
              <w:end w:w="110" w:type="dxa"/>
            </w:tcMar>
          </w:tcPr>
          <w:p>
            <w:pPr>
              <w:spacing w:after="0" w:line="269" w:lineRule="auto"/>
            </w:pPr>
            <w:r>
              <w:rPr>
                <w:rFonts w:ascii="Inter" w:hAnsi="Inter"/>
                <w:b w:val="0"/>
                <w:i w:val="0"/>
                <w:color w:val="1A2B45"/>
                <w:sz w:val="18"/>
              </w:rPr>
              <w:t>Calendar, on-call rotations, approval workflows</w:t>
            </w:r>
          </w:p>
        </w:tc>
        <w:tc>
          <w:tcPr>
            <w:tcW w:type="dxa" w:w="1296"/>
            <w:tcMar>
              <w:top w:w="60" w:type="dxa"/>
              <w:bottom w:w="60" w:type="dxa"/>
              <w:start w:w="110" w:type="dxa"/>
              <w:end w:w="110" w:type="dxa"/>
            </w:tcMar>
          </w:tcPr>
          <w:p>
            <w:pPr>
              <w:spacing w:after="0" w:line="269" w:lineRule="auto"/>
            </w:pPr>
            <w:r>
              <w:rPr>
                <w:rFonts w:ascii="Inter" w:hAnsi="Inter"/>
                <w:b w:val="0"/>
                <w:i w:val="0"/>
                <w:color w:val="1A2B45"/>
                <w:sz w:val="18"/>
              </w:rPr>
              <w:t>P4</w:t>
            </w:r>
          </w:p>
        </w:tc>
      </w:tr>
      <w:tr>
        <w:tc>
          <w:tcPr>
            <w:tcW w:type="dxa" w:w="2016"/>
            <w:tcMar>
              <w:top w:w="60" w:type="dxa"/>
              <w:bottom w:w="60" w:type="dxa"/>
              <w:start w:w="110" w:type="dxa"/>
              <w:end w:w="110" w:type="dxa"/>
            </w:tcMar>
            <w:shd w:val="clear" w:fill="EAF3FF"/>
          </w:tcPr>
          <w:p>
            <w:pPr>
              <w:spacing w:after="0" w:line="269" w:lineRule="auto"/>
            </w:pPr>
            <w:r>
              <w:rPr>
                <w:rFonts w:ascii="Inter" w:hAnsi="Inter"/>
                <w:b w:val="0"/>
                <w:i w:val="0"/>
                <w:color w:val="1A2B45"/>
                <w:sz w:val="18"/>
              </w:rPr>
              <w:t>Ecosystem</w:t>
            </w:r>
          </w:p>
        </w:tc>
        <w:tc>
          <w:tcPr>
            <w:tcW w:type="dxa" w:w="5328"/>
            <w:tcMar>
              <w:top w:w="60" w:type="dxa"/>
              <w:bottom w:w="60" w:type="dxa"/>
              <w:start w:w="110" w:type="dxa"/>
              <w:end w:w="110" w:type="dxa"/>
            </w:tcMar>
            <w:shd w:val="clear" w:fill="EAF3FF"/>
          </w:tcPr>
          <w:p>
            <w:pPr>
              <w:spacing w:after="0" w:line="269" w:lineRule="auto"/>
            </w:pPr>
            <w:r>
              <w:rPr>
                <w:rFonts w:ascii="Inter" w:hAnsi="Inter"/>
                <w:b w:val="0"/>
                <w:i w:val="0"/>
                <w:color w:val="1A2B45"/>
                <w:sz w:val="18"/>
              </w:rPr>
              <w:t>Integration gallery, M365 deeper sync, SOC 2 program, SAML SSO</w:t>
            </w:r>
          </w:p>
        </w:tc>
        <w:tc>
          <w:tcPr>
            <w:tcW w:type="dxa" w:w="1296"/>
            <w:tcMar>
              <w:top w:w="60" w:type="dxa"/>
              <w:bottom w:w="60" w:type="dxa"/>
              <w:start w:w="110" w:type="dxa"/>
              <w:end w:w="110" w:type="dxa"/>
            </w:tcMar>
            <w:shd w:val="clear" w:fill="EAF3FF"/>
          </w:tcPr>
          <w:p>
            <w:pPr>
              <w:spacing w:after="0" w:line="269" w:lineRule="auto"/>
            </w:pPr>
            <w:r>
              <w:rPr>
                <w:rFonts w:ascii="Inter" w:hAnsi="Inter"/>
                <w:b w:val="0"/>
                <w:i w:val="0"/>
                <w:color w:val="1A2B45"/>
                <w:sz w:val="18"/>
              </w:rPr>
              <w:t>P4</w:t>
            </w:r>
          </w:p>
        </w:tc>
      </w:tr>
    </w:tbl>
    <w:p>
      <w:pPr>
        <w:spacing w:after="120"/>
      </w:pPr>
      <w:r>
        <w:rPr>
          <w:rFonts w:ascii="Inter" w:hAnsi="Inter"/>
          <w:b w:val="0"/>
          <w:i w:val="0"/>
          <w:color w:val="1A2B45"/>
          <w:sz w:val="4"/>
        </w:rPr>
      </w:r>
    </w:p>
    <w:p>
      <w:pPr>
        <w:spacing w:before="280" w:after="80"/>
      </w:pPr>
      <w:r>
        <w:rPr>
          <w:rFonts w:ascii="Inter" w:hAnsi="Inter"/>
          <w:b/>
          <w:i w:val="0"/>
          <w:color w:val="12345F"/>
          <w:sz w:val="26"/>
        </w:rPr>
        <w:t>5.4  Suite integration — the killer flows</w:t>
      </w:r>
    </w:p>
    <w:p>
      <w:pPr>
        <w:pStyle w:val="ListBullet"/>
        <w:spacing w:after="60" w:line="276" w:lineRule="auto"/>
      </w:pPr>
      <w:r>
        <w:rPr>
          <w:rFonts w:ascii="Inter" w:hAnsi="Inter"/>
          <w:b/>
          <w:i w:val="0"/>
          <w:color w:val="12345F"/>
          <w:sz w:val="21"/>
        </w:rPr>
        <w:t xml:space="preserve">Milepost → Safeharbor. </w:t>
      </w:r>
      <w:r>
        <w:rPr>
          <w:rFonts w:ascii="Inter" w:hAnsi="Inter"/>
          <w:b w:val="0"/>
          <w:i w:val="0"/>
          <w:color w:val="1A2B45"/>
          <w:sz w:val="21"/>
        </w:rPr>
        <w:t>A server alert becomes a ticket with the device, client, site, open alerts, and recent patches already attached. One click opens a remote session from the ticket. Closing the ticket can auto-resolve the alert.</w:t>
      </w:r>
    </w:p>
    <w:p>
      <w:pPr>
        <w:pStyle w:val="ListBullet"/>
        <w:spacing w:after="60" w:line="276" w:lineRule="auto"/>
      </w:pPr>
      <w:r>
        <w:rPr>
          <w:rFonts w:ascii="Inter" w:hAnsi="Inter"/>
          <w:b/>
          <w:i w:val="0"/>
          <w:color w:val="12345F"/>
          <w:sz w:val="21"/>
        </w:rPr>
        <w:t xml:space="preserve">Safeharbor → Coastmark. </w:t>
      </w:r>
      <w:r>
        <w:rPr>
          <w:rFonts w:ascii="Inter" w:hAnsi="Inter"/>
          <w:b w:val="0"/>
          <w:i w:val="0"/>
          <w:color w:val="1A2B45"/>
          <w:sz w:val="21"/>
        </w:rPr>
        <w:t>Approved time on a ticket flows to the client’s agreement; month-end invoicing is a review screen, not a reconciliation project. No exports, no sync jobs, no “why is QuickBooks different again.”</w:t>
      </w:r>
    </w:p>
    <w:p>
      <w:pPr>
        <w:pStyle w:val="ListBullet"/>
        <w:spacing w:after="60" w:line="276" w:lineRule="auto"/>
      </w:pPr>
      <w:r>
        <w:rPr>
          <w:rFonts w:ascii="Inter" w:hAnsi="Inter"/>
          <w:b/>
          <w:i w:val="0"/>
          <w:color w:val="12345F"/>
          <w:sz w:val="21"/>
        </w:rPr>
        <w:t xml:space="preserve">One sign-in, one client record. </w:t>
      </w:r>
      <w:r>
        <w:rPr>
          <w:rFonts w:ascii="Inter" w:hAnsi="Inter"/>
          <w:b w:val="0"/>
          <w:i w:val="0"/>
          <w:color w:val="1A2B45"/>
          <w:sz w:val="21"/>
        </w:rPr>
        <w:t>Suite SSO and a shared client graph: a client created once exists everywhere — devices in Milepost, invoices in Coastmark, tickets in Safeharbor.</w:t>
      </w:r>
    </w:p>
    <w:p>
      <w:r>
        <w:br w:type="page"/>
      </w:r>
    </w:p>
    <w:p>
      <w:pPr>
        <w:spacing w:before="40" w:after="0"/>
      </w:pPr>
      <w:r>
        <w:rPr>
          <w:rFonts w:ascii="Inter" w:hAnsi="Inter"/>
          <w:b/>
          <w:i w:val="0"/>
          <w:color w:val="54A8FF"/>
          <w:sz w:val="17"/>
        </w:rPr>
        <w:t>SECTION 6</w:t>
      </w:r>
    </w:p>
    <w:p>
      <w:pPr>
        <w:spacing w:before="440" w:after="160"/>
        <w:pBdr>
          <w:bottom w:val="single" w:sz="14" w:space="6" w:color="2D8CFF"/>
        </w:pBdr>
      </w:pPr>
      <w:r>
        <w:rPr>
          <w:rFonts w:ascii="Inter" w:hAnsi="Inter"/>
          <w:b/>
          <w:i w:val="0"/>
          <w:color w:val="0B2448"/>
          <w:sz w:val="34"/>
        </w:rPr>
        <w:t>UX &amp; Design Direction</w:t>
      </w:r>
    </w:p>
    <w:p>
      <w:pPr>
        <w:spacing w:after="120" w:line="283" w:lineRule="auto"/>
      </w:pPr>
      <w:r>
        <w:rPr>
          <w:rFonts w:ascii="Inter" w:hAnsi="Inter"/>
          <w:b w:val="0"/>
          <w:i w:val="0"/>
          <w:color w:val="1A2B45"/>
          <w:sz w:val="21"/>
        </w:rPr>
        <w:t>The bar is not “better than ConnectWise.” The bar is the software people choose when they have a choice: Linear, Height, Help Scout. Every screen below is described as a promise we can demo against.</w:t>
      </w:r>
    </w:p>
    <w:p>
      <w:pPr>
        <w:spacing w:before="280" w:after="80"/>
      </w:pPr>
      <w:r>
        <w:rPr>
          <w:rFonts w:ascii="Inter" w:hAnsi="Inter"/>
          <w:b/>
          <w:i w:val="0"/>
          <w:color w:val="12345F"/>
          <w:sz w:val="26"/>
        </w:rPr>
        <w:t>6.1  The five screens that matter</w:t>
      </w:r>
    </w:p>
    <w:p>
      <w:pPr>
        <w:pStyle w:val="ListBullet"/>
        <w:spacing w:after="60" w:line="276" w:lineRule="auto"/>
      </w:pPr>
      <w:r>
        <w:rPr>
          <w:rFonts w:ascii="Inter" w:hAnsi="Inter"/>
          <w:b/>
          <w:i w:val="0"/>
          <w:color w:val="12345F"/>
          <w:sz w:val="21"/>
        </w:rPr>
        <w:t xml:space="preserve">The Queue (home). </w:t>
      </w:r>
      <w:r>
        <w:rPr>
          <w:rFonts w:ascii="Inter" w:hAnsi="Inter"/>
          <w:b w:val="0"/>
          <w:i w:val="0"/>
          <w:color w:val="1A2B45"/>
          <w:sz w:val="21"/>
        </w:rPr>
        <w:t>One calm, dense list: status chip, priority glyph, client, subject, age, SLA lamp (mint → gold → red). Zero chrome above it except search. Keyboard navigable end to end; bulk actions appear only on selection.</w:t>
      </w:r>
    </w:p>
    <w:p>
      <w:pPr>
        <w:pStyle w:val="ListBullet"/>
        <w:spacing w:after="60" w:line="276" w:lineRule="auto"/>
      </w:pPr>
      <w:r>
        <w:rPr>
          <w:rFonts w:ascii="Inter" w:hAnsi="Inter"/>
          <w:b/>
          <w:i w:val="0"/>
          <w:color w:val="12345F"/>
          <w:sz w:val="21"/>
        </w:rPr>
        <w:t xml:space="preserve">The Ticket. </w:t>
      </w:r>
      <w:r>
        <w:rPr>
          <w:rFonts w:ascii="Inter" w:hAnsi="Inter"/>
          <w:b w:val="0"/>
          <w:i w:val="0"/>
          <w:color w:val="1A2B45"/>
          <w:sz w:val="21"/>
        </w:rPr>
        <w:t>Conversation in the center like a chat thread; client, device (via Milepost), SLA countdown, and time timer in a slim right rail; every field editable inline. A tech should resolve a ticket without ever leaving this view.</w:t>
      </w:r>
    </w:p>
    <w:p>
      <w:pPr>
        <w:pStyle w:val="ListBullet"/>
        <w:spacing w:after="60" w:line="276" w:lineRule="auto"/>
      </w:pPr>
      <w:r>
        <w:rPr>
          <w:rFonts w:ascii="Inter" w:hAnsi="Inter"/>
          <w:b/>
          <w:i w:val="0"/>
          <w:color w:val="12345F"/>
          <w:sz w:val="21"/>
        </w:rPr>
        <w:t xml:space="preserve">The Client. </w:t>
      </w:r>
      <w:r>
        <w:rPr>
          <w:rFonts w:ascii="Inter" w:hAnsi="Inter"/>
          <w:b w:val="0"/>
          <w:i w:val="0"/>
          <w:color w:val="1A2B45"/>
          <w:sz w:val="21"/>
        </w:rPr>
        <w:t>One page per client: open tickets, devices, agreement, recent invoices (via Coastmark), contacts, and health notes — the “answer the phone smart” screen.</w:t>
      </w:r>
    </w:p>
    <w:p>
      <w:pPr>
        <w:pStyle w:val="ListBullet"/>
        <w:spacing w:after="60" w:line="276" w:lineRule="auto"/>
      </w:pPr>
      <w:r>
        <w:rPr>
          <w:rFonts w:ascii="Inter" w:hAnsi="Inter"/>
          <w:b/>
          <w:i w:val="0"/>
          <w:color w:val="12345F"/>
          <w:sz w:val="21"/>
        </w:rPr>
        <w:t xml:space="preserve">The Timer. </w:t>
      </w:r>
      <w:r>
        <w:rPr>
          <w:rFonts w:ascii="Inter" w:hAnsi="Inter"/>
          <w:b w:val="0"/>
          <w:i w:val="0"/>
          <w:color w:val="1A2B45"/>
          <w:sz w:val="21"/>
        </w:rPr>
        <w:t>Persistent, quiet, always one click away; the app suggests time entries from actual work. The Friday-afternoon time-entry dread is the enemy; this screen is the weapon.</w:t>
      </w:r>
    </w:p>
    <w:p>
      <w:pPr>
        <w:pStyle w:val="ListBullet"/>
        <w:spacing w:after="60" w:line="276" w:lineRule="auto"/>
      </w:pPr>
      <w:r>
        <w:rPr>
          <w:rFonts w:ascii="Inter" w:hAnsi="Inter"/>
          <w:b/>
          <w:i w:val="0"/>
          <w:color w:val="12345F"/>
          <w:sz w:val="21"/>
        </w:rPr>
        <w:t xml:space="preserve">The Palette. </w:t>
      </w:r>
      <w:r>
        <w:rPr>
          <w:rFonts w:ascii="Inter" w:hAnsi="Inter"/>
          <w:b w:val="0"/>
          <w:i w:val="0"/>
          <w:color w:val="1A2B45"/>
          <w:sz w:val="21"/>
        </w:rPr>
        <w:t>Ctrl/Cmd+K: jump to any ticket, client, device, or action. New techs learn the product by using the palette for a day.</w:t>
      </w:r>
    </w:p>
    <w:p>
      <w:pPr>
        <w:spacing w:before="280" w:after="80"/>
      </w:pPr>
      <w:r>
        <w:rPr>
          <w:rFonts w:ascii="Inter" w:hAnsi="Inter"/>
          <w:b/>
          <w:i w:val="0"/>
          <w:color w:val="12345F"/>
          <w:sz w:val="26"/>
        </w:rPr>
        <w:t>6.2  Brand application rules</w:t>
      </w:r>
    </w:p>
    <w:p>
      <w:pPr>
        <w:pStyle w:val="ListBullet"/>
        <w:spacing w:after="60" w:line="276" w:lineRule="auto"/>
      </w:pPr>
      <w:r>
        <w:rPr>
          <w:rFonts w:ascii="Inter" w:hAnsi="Inter"/>
          <w:b w:val="0"/>
          <w:i w:val="0"/>
          <w:color w:val="1A2B45"/>
          <w:sz w:val="21"/>
        </w:rPr>
        <w:t>Navy-900 is the canvas; panels float at navy-800 with 16% white hairline borders and 14–20px radii</w:t>
      </w:r>
    </w:p>
    <w:p>
      <w:pPr>
        <w:pStyle w:val="ListBullet"/>
        <w:spacing w:after="60" w:line="276" w:lineRule="auto"/>
      </w:pPr>
      <w:r>
        <w:rPr>
          <w:rFonts w:ascii="Inter" w:hAnsi="Inter"/>
          <w:b w:val="0"/>
          <w:i w:val="0"/>
          <w:color w:val="1A2B45"/>
          <w:sz w:val="21"/>
        </w:rPr>
        <w:t>Blue-500 = go (primary buttons, links); cyan-300 = attention without alarm (active nav, AI hints)</w:t>
      </w:r>
    </w:p>
    <w:p>
      <w:pPr>
        <w:pStyle w:val="ListBullet"/>
        <w:spacing w:after="60" w:line="276" w:lineRule="auto"/>
      </w:pPr>
      <w:r>
        <w:rPr>
          <w:rFonts w:ascii="Inter" w:hAnsi="Inter"/>
          <w:b w:val="0"/>
          <w:i w:val="0"/>
          <w:color w:val="1A2B45"/>
          <w:sz w:val="21"/>
        </w:rPr>
        <w:t>Gold-400 is spent only on SLA risk and warnings; mint-300 only on resolved/healthy — color stays meaningful</w:t>
      </w:r>
    </w:p>
    <w:p>
      <w:pPr>
        <w:pStyle w:val="ListBullet"/>
        <w:spacing w:after="60" w:line="276" w:lineRule="auto"/>
      </w:pPr>
      <w:r>
        <w:rPr>
          <w:rFonts w:ascii="Inter" w:hAnsi="Inter"/>
          <w:b w:val="0"/>
          <w:i w:val="0"/>
          <w:color w:val="1A2B45"/>
          <w:sz w:val="21"/>
        </w:rPr>
        <w:t>One gradient (cyan→blue), reserved for the primary CTA and brand moments</w:t>
      </w:r>
    </w:p>
    <w:p>
      <w:pPr>
        <w:pStyle w:val="ListBullet"/>
        <w:spacing w:after="60" w:line="276" w:lineRule="auto"/>
      </w:pPr>
      <w:r>
        <w:rPr>
          <w:rFonts w:ascii="Inter" w:hAnsi="Inter"/>
          <w:b w:val="0"/>
          <w:i w:val="0"/>
          <w:color w:val="1A2B45"/>
          <w:sz w:val="21"/>
        </w:rPr>
        <w:t>Empty states teach; error messages say what happened and what to do, in plain English</w:t>
      </w:r>
    </w:p>
    <w:p>
      <w:r>
        <w:br w:type="page"/>
      </w:r>
    </w:p>
    <w:p>
      <w:pPr>
        <w:spacing w:before="40" w:after="0"/>
      </w:pPr>
      <w:r>
        <w:rPr>
          <w:rFonts w:ascii="Inter" w:hAnsi="Inter"/>
          <w:b/>
          <w:i w:val="0"/>
          <w:color w:val="54A8FF"/>
          <w:sz w:val="17"/>
        </w:rPr>
        <w:t>SECTION 7</w:t>
      </w:r>
    </w:p>
    <w:p>
      <w:pPr>
        <w:spacing w:before="440" w:after="160"/>
        <w:pBdr>
          <w:bottom w:val="single" w:sz="14" w:space="6" w:color="2D8CFF"/>
        </w:pBdr>
      </w:pPr>
      <w:r>
        <w:rPr>
          <w:rFonts w:ascii="Inter" w:hAnsi="Inter"/>
          <w:b/>
          <w:i w:val="0"/>
          <w:color w:val="0B2448"/>
          <w:sz w:val="34"/>
        </w:rPr>
        <w:t>Phased Rollout Plan</w:t>
      </w:r>
    </w:p>
    <w:p>
      <w:pPr>
        <w:spacing w:after="120" w:line="283" w:lineRule="auto"/>
      </w:pPr>
      <w:r>
        <w:rPr>
          <w:rFonts w:ascii="Inter" w:hAnsi="Inter"/>
          <w:b w:val="0"/>
          <w:i w:val="0"/>
          <w:color w:val="1A2B45"/>
          <w:sz w:val="21"/>
        </w:rPr>
        <w:t>Five phases, each with a goal, an explicit in/out scope, and exit criteria that must be true before the next phase starts. Timelines are indicative for a small focused team and assume Milepost and Coastmark proceed in parallel; integration phases re-sequence to match their readiness.</w:t>
      </w:r>
    </w:p>
    <w:p>
      <w:pPr>
        <w:spacing w:before="280" w:after="80"/>
      </w:pPr>
      <w:r>
        <w:rPr>
          <w:rFonts w:ascii="Inter" w:hAnsi="Inter"/>
          <w:b/>
          <w:i w:val="0"/>
          <w:color w:val="12345F"/>
          <w:sz w:val="26"/>
        </w:rPr>
        <w:t>Phase 0 — Foundation &amp; Design System  ·  Months 0–2</w:t>
      </w:r>
    </w:p>
    <w:p>
      <w:pPr>
        <w:spacing w:after="60" w:line="283" w:lineRule="auto"/>
      </w:pPr>
      <w:r>
        <w:rPr>
          <w:rFonts w:ascii="Inter" w:hAnsi="Inter"/>
          <w:b/>
          <w:i w:val="0"/>
          <w:color w:val="12345F"/>
          <w:sz w:val="21"/>
        </w:rPr>
        <w:t>Goal: Prove the look and stand up the skeleton.</w:t>
      </w:r>
    </w:p>
    <w:p>
      <w:pPr>
        <w:pStyle w:val="ListBullet"/>
        <w:spacing w:after="60" w:line="276" w:lineRule="auto"/>
      </w:pPr>
      <w:r>
        <w:rPr>
          <w:rFonts w:ascii="Inter" w:hAnsi="Inter"/>
          <w:b w:val="0"/>
          <w:i w:val="0"/>
          <w:color w:val="1A2B45"/>
          <w:sz w:val="21"/>
        </w:rPr>
        <w:t>In: brand tokens as code (the palette above), app shell, auth &amp; multi-tenant data model, suite SSO contract, dark-mode-first component library, clickable prototype of the five key screens</w:t>
      </w:r>
    </w:p>
    <w:p>
      <w:pPr>
        <w:pStyle w:val="ListBullet"/>
        <w:spacing w:after="60" w:line="276" w:lineRule="auto"/>
      </w:pPr>
      <w:r>
        <w:rPr>
          <w:rFonts w:ascii="Inter" w:hAnsi="Inter"/>
          <w:b w:val="0"/>
          <w:i w:val="0"/>
          <w:color w:val="1A2B45"/>
          <w:sz w:val="21"/>
        </w:rPr>
        <w:t>Out: any ticketing logic beyond prototype stubs</w:t>
      </w:r>
    </w:p>
    <w:p>
      <w:pPr>
        <w:spacing w:after="120" w:line="283" w:lineRule="auto"/>
      </w:pPr>
      <w:r>
        <w:rPr>
          <w:rFonts w:ascii="Inter" w:hAnsi="Inter"/>
          <w:b/>
          <w:i w:val="0"/>
          <w:color w:val="2D8CFF"/>
          <w:sz w:val="21"/>
        </w:rPr>
        <w:t xml:space="preserve">Exit criteria: </w:t>
      </w:r>
      <w:r>
        <w:rPr>
          <w:rFonts w:ascii="Inter" w:hAnsi="Inter"/>
          <w:b w:val="0"/>
          <w:i w:val="0"/>
          <w:color w:val="1A2B45"/>
          <w:sz w:val="21"/>
        </w:rPr>
        <w:t>Prototype passes the “8 West Standard” checklist; a tech can keyboard-drive the demo queue; tokens imported, not hard-coded.</w:t>
      </w:r>
    </w:p>
    <w:p>
      <w:pPr>
        <w:spacing w:after="40"/>
      </w:pPr>
      <w:r>
        <w:rPr>
          <w:rFonts w:ascii="Inter" w:hAnsi="Inter"/>
          <w:b w:val="0"/>
          <w:i w:val="0"/>
          <w:color w:val="1A2B45"/>
          <w:sz w:val="4"/>
        </w:rPr>
      </w:r>
    </w:p>
    <w:p>
      <w:pPr>
        <w:spacing w:before="280" w:after="80"/>
      </w:pPr>
      <w:r>
        <w:rPr>
          <w:rFonts w:ascii="Inter" w:hAnsi="Inter"/>
          <w:b/>
          <w:i w:val="0"/>
          <w:color w:val="12345F"/>
          <w:sz w:val="26"/>
        </w:rPr>
        <w:t>Phase 1 — Core Ticketing MVP  ·  Months 2–5</w:t>
      </w:r>
    </w:p>
    <w:p>
      <w:pPr>
        <w:spacing w:after="60" w:line="283" w:lineRule="auto"/>
      </w:pPr>
      <w:r>
        <w:rPr>
          <w:rFonts w:ascii="Inter" w:hAnsi="Inter"/>
          <w:b/>
          <w:i w:val="0"/>
          <w:color w:val="12345F"/>
          <w:sz w:val="21"/>
        </w:rPr>
        <w:t>Goal: Run 8 West IT’s own support desk on it (dogfood).</w:t>
      </w:r>
    </w:p>
    <w:p>
      <w:pPr>
        <w:pStyle w:val="ListBullet"/>
        <w:spacing w:after="60" w:line="276" w:lineRule="auto"/>
      </w:pPr>
      <w:r>
        <w:rPr>
          <w:rFonts w:ascii="Inter" w:hAnsi="Inter"/>
          <w:b w:val="0"/>
          <w:i w:val="0"/>
          <w:color w:val="1A2B45"/>
          <w:sz w:val="21"/>
        </w:rPr>
        <w:t>In: email-to-ticket with custom domain, ticket core (queues, statuses, priorities, assignment, notes, attachments), clients &amp; contacts, notifications, basic search</w:t>
      </w:r>
    </w:p>
    <w:p>
      <w:pPr>
        <w:pStyle w:val="ListBullet"/>
        <w:spacing w:after="60" w:line="276" w:lineRule="auto"/>
      </w:pPr>
      <w:r>
        <w:rPr>
          <w:rFonts w:ascii="Inter" w:hAnsi="Inter"/>
          <w:b w:val="0"/>
          <w:i w:val="0"/>
          <w:color w:val="1A2B45"/>
          <w:sz w:val="21"/>
        </w:rPr>
        <w:t>In (Sprint 1, SHIPPED 2026-08-01): 8 West ID suite SSO (shared suite cookie) and Westy, the suite assistant, as first-run onboarding guide + advise-only how-to helper (advises, never acts; AI keys server-only)</w:t>
      </w:r>
    </w:p>
    <w:p>
      <w:pPr>
        <w:pStyle w:val="ListBullet"/>
        <w:spacing w:after="60" w:line="276" w:lineRule="auto"/>
      </w:pPr>
      <w:r>
        <w:rPr>
          <w:rFonts w:ascii="Inter" w:hAnsi="Inter"/>
          <w:b w:val="0"/>
          <w:i w:val="0"/>
          <w:color w:val="1A2B45"/>
          <w:sz w:val="21"/>
        </w:rPr>
        <w:t>In (Sprints 2–5, SHIPPED 2026-08-02): composer with internal notes + '/' saved replies (merge fields) + time-at-reply; attachments both directions; conversation threading + inbound dedupe + bounce-loop protection; waiting auto-resurface; collision detection with stale-send blocking; merge tickets + duplicate suggestions; deep search (bodies + resolved) in the palette; '?' shortcut card; Reports with live numbers + billable CSV; one-click CSAT</w:t>
      </w:r>
    </w:p>
    <w:p>
      <w:pPr>
        <w:pStyle w:val="ListBullet"/>
        <w:spacing w:after="60" w:line="276" w:lineRule="auto"/>
      </w:pPr>
      <w:r>
        <w:rPr>
          <w:rFonts w:ascii="Inter" w:hAnsi="Inter"/>
          <w:b w:val="0"/>
          <w:i w:val="0"/>
          <w:color w:val="1A2B45"/>
          <w:sz w:val="21"/>
        </w:rPr>
        <w:t>Out: portal, automation builder, AI drafting, Coastmark handoff (P2/P3)</w:t>
      </w:r>
    </w:p>
    <w:p>
      <w:pPr>
        <w:spacing w:after="120" w:line="283" w:lineRule="auto"/>
      </w:pPr>
      <w:r>
        <w:rPr>
          <w:rFonts w:ascii="Inter" w:hAnsi="Inter"/>
          <w:b/>
          <w:i w:val="0"/>
          <w:color w:val="2D8CFF"/>
          <w:sz w:val="21"/>
        </w:rPr>
        <w:t xml:space="preserve">Exit criteria: </w:t>
      </w:r>
      <w:r>
        <w:rPr>
          <w:rFonts w:ascii="Inter" w:hAnsi="Inter"/>
          <w:b w:val="0"/>
          <w:i w:val="0"/>
          <w:color w:val="1A2B45"/>
          <w:sz w:val="21"/>
        </w:rPr>
        <w:t>8 West IT handles all real client support in-app for 4 consecutive weeks; zero data-loss incidents; p95 ticket-open interaction under 300ms; a new user reaches their first answered ticket with no human walkthrough (Westy carries the onboarding).</w:t>
      </w:r>
    </w:p>
    <w:p>
      <w:pPr>
        <w:spacing w:after="40"/>
      </w:pPr>
      <w:r>
        <w:rPr>
          <w:rFonts w:ascii="Inter" w:hAnsi="Inter"/>
          <w:b w:val="0"/>
          <w:i w:val="0"/>
          <w:color w:val="1A2B45"/>
          <w:sz w:val="4"/>
        </w:rPr>
      </w:r>
    </w:p>
    <w:p>
      <w:pPr>
        <w:spacing w:before="280" w:after="80"/>
      </w:pPr>
      <w:r>
        <w:rPr>
          <w:rFonts w:ascii="Inter" w:hAnsi="Inter"/>
          <w:b/>
          <w:i w:val="0"/>
          <w:color w:val="12345F"/>
          <w:sz w:val="26"/>
        </w:rPr>
        <w:t>Phase 2 — MSP Essentials + Suite Integration  ·  Months 5–8</w:t>
      </w:r>
    </w:p>
    <w:p>
      <w:pPr>
        <w:spacing w:after="60" w:line="283" w:lineRule="auto"/>
      </w:pPr>
      <w:r>
        <w:rPr>
          <w:rFonts w:ascii="Inter" w:hAnsi="Inter"/>
          <w:b/>
          <w:i w:val="0"/>
          <w:color w:val="12345F"/>
          <w:sz w:val="21"/>
        </w:rPr>
        <w:t>Goal: Become a real MSP tool and wire in Milepost &amp; Coastmark. Private beta with 10–20 design-partner MSPs.</w:t>
      </w:r>
    </w:p>
    <w:p>
      <w:pPr>
        <w:pStyle w:val="ListBullet"/>
        <w:spacing w:after="60" w:line="276" w:lineRule="auto"/>
      </w:pPr>
      <w:r>
        <w:rPr>
          <w:rFonts w:ascii="Inter" w:hAnsi="Inter"/>
          <w:b w:val="0"/>
          <w:i w:val="0"/>
          <w:color w:val="1A2B45"/>
          <w:sz w:val="21"/>
        </w:rPr>
        <w:t>In: SLA policies + business hours, one-click timers &amp; auto work-log, white-label client portal, KB basics, Milepost alert→ticket + device panel + remote launch, Coastmark approved-time→invoice handoff</w:t>
      </w:r>
    </w:p>
    <w:p>
      <w:pPr>
        <w:pStyle w:val="ListBullet"/>
        <w:spacing w:after="60" w:line="276" w:lineRule="auto"/>
      </w:pPr>
      <w:r>
        <w:rPr>
          <w:rFonts w:ascii="Inter" w:hAnsi="Inter"/>
          <w:b w:val="0"/>
          <w:i w:val="0"/>
          <w:color w:val="1A2B45"/>
          <w:sz w:val="21"/>
        </w:rPr>
        <w:t>Out: automation builder, AI assist, mobile, dispatch</w:t>
      </w:r>
    </w:p>
    <w:p>
      <w:pPr>
        <w:spacing w:after="120" w:line="283" w:lineRule="auto"/>
      </w:pPr>
      <w:r>
        <w:rPr>
          <w:rFonts w:ascii="Inter" w:hAnsi="Inter"/>
          <w:b/>
          <w:i w:val="0"/>
          <w:color w:val="2D8CFF"/>
          <w:sz w:val="21"/>
        </w:rPr>
        <w:t xml:space="preserve">Exit criteria: </w:t>
      </w:r>
      <w:r>
        <w:rPr>
          <w:rFonts w:ascii="Inter" w:hAnsi="Inter"/>
          <w:b w:val="0"/>
          <w:i w:val="0"/>
          <w:color w:val="1A2B45"/>
          <w:sz w:val="21"/>
        </w:rPr>
        <w:t>Beta NPS ≥ 40; ≥ 80% of billable time entered same-day (vs. the industry’s Friday batch); every beta MSP running at least one Milepost and one Coastmark flow.</w:t>
      </w:r>
    </w:p>
    <w:p>
      <w:pPr>
        <w:spacing w:after="40"/>
      </w:pPr>
      <w:r>
        <w:rPr>
          <w:rFonts w:ascii="Inter" w:hAnsi="Inter"/>
          <w:b w:val="0"/>
          <w:i w:val="0"/>
          <w:color w:val="1A2B45"/>
          <w:sz w:val="4"/>
        </w:rPr>
      </w:r>
    </w:p>
    <w:p>
      <w:pPr>
        <w:spacing w:before="280" w:after="80"/>
      </w:pPr>
      <w:r>
        <w:rPr>
          <w:rFonts w:ascii="Inter" w:hAnsi="Inter"/>
          <w:b/>
          <w:i w:val="0"/>
          <w:color w:val="12345F"/>
          <w:sz w:val="26"/>
        </w:rPr>
        <w:t>Phase 3 — Automation, Intelligence &amp; Public Launch  ·  Months 8–12</w:t>
      </w:r>
    </w:p>
    <w:p>
      <w:pPr>
        <w:spacing w:after="60" w:line="283" w:lineRule="auto"/>
      </w:pPr>
      <w:r>
        <w:rPr>
          <w:rFonts w:ascii="Inter" w:hAnsi="Inter"/>
          <w:b/>
          <w:i w:val="0"/>
          <w:color w:val="12345F"/>
          <w:sz w:val="21"/>
        </w:rPr>
        <w:t>Goal: Open the doors with the features that win comparisons.</w:t>
      </w:r>
    </w:p>
    <w:p>
      <w:pPr>
        <w:pStyle w:val="ListBullet"/>
        <w:spacing w:after="60" w:line="276" w:lineRule="auto"/>
      </w:pPr>
      <w:r>
        <w:rPr>
          <w:rFonts w:ascii="Inter" w:hAnsi="Inter"/>
          <w:b w:val="0"/>
          <w:i w:val="0"/>
          <w:color w:val="1A2B45"/>
          <w:sz w:val="21"/>
        </w:rPr>
        <w:t>In: visual automation builder, AI triage/summary/draft (included), reporting dashboards, CSAT, templates &amp; recurring tickets, Teams intake, public API + webhooks, guided importers (CW, Autotask, Syncro, Halo)</w:t>
      </w:r>
    </w:p>
    <w:p>
      <w:pPr>
        <w:pStyle w:val="ListBullet"/>
        <w:spacing w:after="60" w:line="276" w:lineRule="auto"/>
      </w:pPr>
      <w:r>
        <w:rPr>
          <w:rFonts w:ascii="Inter" w:hAnsi="Inter"/>
          <w:b w:val="0"/>
          <w:i w:val="0"/>
          <w:color w:val="1A2B45"/>
          <w:sz w:val="21"/>
        </w:rPr>
        <w:t>Out: native mobile, dispatch/on-call, marketplace</w:t>
      </w:r>
    </w:p>
    <w:p>
      <w:pPr>
        <w:spacing w:after="120" w:line="283" w:lineRule="auto"/>
      </w:pPr>
      <w:r>
        <w:rPr>
          <w:rFonts w:ascii="Inter" w:hAnsi="Inter"/>
          <w:b/>
          <w:i w:val="0"/>
          <w:color w:val="2D8CFF"/>
          <w:sz w:val="21"/>
        </w:rPr>
        <w:t xml:space="preserve">Exit criteria: </w:t>
      </w:r>
      <w:r>
        <w:rPr>
          <w:rFonts w:ascii="Inter" w:hAnsi="Inter"/>
          <w:b w:val="0"/>
          <w:i w:val="0"/>
          <w:color w:val="1A2B45"/>
          <w:sz w:val="21"/>
        </w:rPr>
        <w:t>Self-serve signup → first ticket in under 10 minutes; 50 paying MSPs; ≥ 30% of new logos via importers; published pricing page live.</w:t>
      </w:r>
    </w:p>
    <w:p>
      <w:pPr>
        <w:spacing w:after="40"/>
      </w:pPr>
      <w:r>
        <w:rPr>
          <w:rFonts w:ascii="Inter" w:hAnsi="Inter"/>
          <w:b w:val="0"/>
          <w:i w:val="0"/>
          <w:color w:val="1A2B45"/>
          <w:sz w:val="4"/>
        </w:rPr>
      </w:r>
    </w:p>
    <w:p>
      <w:pPr>
        <w:spacing w:before="280" w:after="80"/>
      </w:pPr>
      <w:r>
        <w:rPr>
          <w:rFonts w:ascii="Inter" w:hAnsi="Inter"/>
          <w:b/>
          <w:i w:val="0"/>
          <w:color w:val="12345F"/>
          <w:sz w:val="26"/>
        </w:rPr>
        <w:t>Phase 4 — Scale &amp; Ecosystem  ·  Months 12–18</w:t>
      </w:r>
    </w:p>
    <w:p>
      <w:pPr>
        <w:spacing w:after="60" w:line="283" w:lineRule="auto"/>
      </w:pPr>
      <w:r>
        <w:rPr>
          <w:rFonts w:ascii="Inter" w:hAnsi="Inter"/>
          <w:b/>
          <w:i w:val="0"/>
          <w:color w:val="12345F"/>
          <w:sz w:val="21"/>
        </w:rPr>
        <w:t>Goal: Deepen without bloating; grow the suite gravity well.</w:t>
      </w:r>
    </w:p>
    <w:p>
      <w:pPr>
        <w:pStyle w:val="ListBullet"/>
        <w:spacing w:after="60" w:line="276" w:lineRule="auto"/>
      </w:pPr>
      <w:r>
        <w:rPr>
          <w:rFonts w:ascii="Inter" w:hAnsi="Inter"/>
          <w:b w:val="0"/>
          <w:i w:val="0"/>
          <w:color w:val="1A2B45"/>
          <w:sz w:val="21"/>
        </w:rPr>
        <w:t>In: iOS/Android apps, dispatch calendar &amp; on-call, approvals, integration gallery, advanced reporting, SAML SSO, SOC 2 program start</w:t>
      </w:r>
    </w:p>
    <w:p>
      <w:pPr>
        <w:pStyle w:val="ListBullet"/>
        <w:spacing w:after="60" w:line="276" w:lineRule="auto"/>
      </w:pPr>
      <w:r>
        <w:rPr>
          <w:rFonts w:ascii="Inter" w:hAnsi="Inter"/>
          <w:b w:val="0"/>
          <w:i w:val="0"/>
          <w:color w:val="1A2B45"/>
          <w:sz w:val="21"/>
        </w:rPr>
        <w:t>Out: enterprise feature sprawl — every addition must pass the complexity budget</w:t>
      </w:r>
    </w:p>
    <w:p>
      <w:pPr>
        <w:spacing w:after="120" w:line="283" w:lineRule="auto"/>
      </w:pPr>
      <w:r>
        <w:rPr>
          <w:rFonts w:ascii="Inter" w:hAnsi="Inter"/>
          <w:b/>
          <w:i w:val="0"/>
          <w:color w:val="2D8CFF"/>
          <w:sz w:val="21"/>
        </w:rPr>
        <w:t xml:space="preserve">Exit criteria: </w:t>
      </w:r>
      <w:r>
        <w:rPr>
          <w:rFonts w:ascii="Inter" w:hAnsi="Inter"/>
          <w:b w:val="0"/>
          <w:i w:val="0"/>
          <w:color w:val="1A2B45"/>
          <w:sz w:val="21"/>
        </w:rPr>
        <w:t>250+ paying MSPs; gross logo churn &lt; 3%/month; CSAT ≥ 95%; suite attach rate (≥ 2 of 3 products) above 60%.</w:t>
      </w:r>
    </w:p>
    <w:p>
      <w:pPr>
        <w:spacing w:after="40"/>
      </w:pPr>
      <w:r>
        <w:rPr>
          <w:rFonts w:ascii="Inter" w:hAnsi="Inter"/>
          <w:b w:val="0"/>
          <w:i w:val="0"/>
          <w:color w:val="1A2B45"/>
          <w:sz w:val="4"/>
        </w:rPr>
      </w:r>
    </w:p>
    <w:p>
      <w:r>
        <w:br w:type="page"/>
      </w:r>
    </w:p>
    <w:p>
      <w:pPr>
        <w:spacing w:before="40" w:after="0"/>
      </w:pPr>
      <w:r>
        <w:rPr>
          <w:rFonts w:ascii="Inter" w:hAnsi="Inter"/>
          <w:b/>
          <w:i w:val="0"/>
          <w:color w:val="54A8FF"/>
          <w:sz w:val="17"/>
        </w:rPr>
        <w:t>SECTION 8</w:t>
      </w:r>
    </w:p>
    <w:p>
      <w:pPr>
        <w:spacing w:before="440" w:after="160"/>
        <w:pBdr>
          <w:bottom w:val="single" w:sz="14" w:space="6" w:color="2D8CFF"/>
        </w:pBdr>
      </w:pPr>
      <w:r>
        <w:rPr>
          <w:rFonts w:ascii="Inter" w:hAnsi="Inter"/>
          <w:b/>
          <w:i w:val="0"/>
          <w:color w:val="0B2448"/>
          <w:sz w:val="34"/>
        </w:rPr>
        <w:t>Pricing &amp; Packaging Direction</w:t>
      </w:r>
    </w:p>
    <w:p>
      <w:pPr>
        <w:spacing w:after="120" w:line="283" w:lineRule="auto"/>
      </w:pPr>
      <w:r>
        <w:rPr>
          <w:rFonts w:ascii="Inter" w:hAnsi="Inter"/>
          <w:b w:val="0"/>
          <w:i w:val="0"/>
          <w:color w:val="1A2B45"/>
          <w:sz w:val="21"/>
        </w:rPr>
        <w:t>Pricing is part of the product and part of the attack. Direction (to be validated with design partners in Phase 2):</w:t>
      </w:r>
    </w:p>
    <w:tbl>
      <w:tblPr>
        <w:tblStyle w:val="TableGrid"/>
        <w:tblW w:type="auto" w:w="0"/>
        <w:jc w:val="center"/>
        <w:tblLayout w:type="fixed"/>
        <w:tblLook w:firstColumn="1" w:firstRow="1" w:lastColumn="0" w:lastRow="0" w:noHBand="0" w:noVBand="1" w:val="04A0"/>
      </w:tblPr>
      <w:tblGrid>
        <w:gridCol w:w="4824"/>
        <w:gridCol w:w="4824"/>
      </w:tblGrid>
      <w:tr>
        <w:tc>
          <w:tcPr>
            <w:tcW w:type="dxa" w:w="2448"/>
            <w:shd w:val="clear" w:fill="0B2448"/>
            <w:tcMar>
              <w:top w:w="60" w:type="dxa"/>
              <w:bottom w:w="60" w:type="dxa"/>
              <w:start w:w="110" w:type="dxa"/>
              <w:end w:w="110" w:type="dxa"/>
            </w:tcMar>
          </w:tcPr>
          <w:p>
            <w:pPr>
              <w:spacing w:after="0"/>
            </w:pPr>
            <w:r>
              <w:rPr>
                <w:rFonts w:ascii="Inter" w:hAnsi="Inter"/>
                <w:b/>
                <w:i w:val="0"/>
                <w:color w:val="FFFFFF"/>
                <w:sz w:val="19"/>
              </w:rPr>
              <w:t>Principle</w:t>
            </w:r>
          </w:p>
        </w:tc>
        <w:tc>
          <w:tcPr>
            <w:tcW w:type="dxa" w:w="6192"/>
            <w:shd w:val="clear" w:fill="0B2448"/>
            <w:tcMar>
              <w:top w:w="60" w:type="dxa"/>
              <w:bottom w:w="60" w:type="dxa"/>
              <w:start w:w="110" w:type="dxa"/>
              <w:end w:w="110" w:type="dxa"/>
            </w:tcMar>
          </w:tcPr>
          <w:p>
            <w:pPr>
              <w:spacing w:after="0"/>
            </w:pPr>
            <w:r>
              <w:rPr>
                <w:rFonts w:ascii="Inter" w:hAnsi="Inter"/>
                <w:b/>
                <w:i w:val="0"/>
                <w:color w:val="FFFFFF"/>
                <w:sz w:val="19"/>
              </w:rPr>
              <w:t>Decision</w:t>
            </w:r>
          </w:p>
        </w:tc>
      </w:tr>
      <w:tr>
        <w:tc>
          <w:tcPr>
            <w:tcW w:type="dxa" w:w="2448"/>
            <w:tcMar>
              <w:top w:w="60" w:type="dxa"/>
              <w:bottom w:w="60" w:type="dxa"/>
              <w:start w:w="110" w:type="dxa"/>
              <w:end w:w="110" w:type="dxa"/>
            </w:tcMar>
          </w:tcPr>
          <w:p>
            <w:pPr>
              <w:spacing w:after="0" w:line="269" w:lineRule="auto"/>
            </w:pPr>
            <w:r>
              <w:rPr>
                <w:rFonts w:ascii="Inter" w:hAnsi="Inter"/>
                <w:b w:val="0"/>
                <w:i w:val="0"/>
                <w:color w:val="1A2B45"/>
                <w:sz w:val="19"/>
              </w:rPr>
              <w:t>Published &amp; simple</w:t>
            </w:r>
          </w:p>
        </w:tc>
        <w:tc>
          <w:tcPr>
            <w:tcW w:type="dxa" w:w="6192"/>
            <w:tcMar>
              <w:top w:w="60" w:type="dxa"/>
              <w:bottom w:w="60" w:type="dxa"/>
              <w:start w:w="110" w:type="dxa"/>
              <w:end w:w="110" w:type="dxa"/>
            </w:tcMar>
          </w:tcPr>
          <w:p>
            <w:pPr>
              <w:spacing w:after="0" w:line="269" w:lineRule="auto"/>
            </w:pPr>
            <w:r>
              <w:rPr>
                <w:rFonts w:ascii="Inter" w:hAnsi="Inter"/>
                <w:b w:val="0"/>
                <w:i w:val="0"/>
                <w:color w:val="1A2B45"/>
                <w:sz w:val="19"/>
              </w:rPr>
              <w:t>One flat per-tech price on the website — indicative $59/tech/month. No quote calls, no “contact sales.”</w:t>
            </w:r>
          </w:p>
        </w:tc>
      </w:tr>
      <w:tr>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9"/>
              </w:rPr>
              <w:t>No seat minimums</w:t>
            </w:r>
          </w:p>
        </w:tc>
        <w:tc>
          <w:tcPr>
            <w:tcW w:type="dxa" w:w="61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A 1-person MSP pays for 1 seat. Direct hit on HaloPSA’s 5-seat floor.</w:t>
            </w:r>
          </w:p>
        </w:tc>
      </w:tr>
      <w:tr>
        <w:tc>
          <w:tcPr>
            <w:tcW w:type="dxa" w:w="2448"/>
            <w:tcMar>
              <w:top w:w="60" w:type="dxa"/>
              <w:bottom w:w="60" w:type="dxa"/>
              <w:start w:w="110" w:type="dxa"/>
              <w:end w:w="110" w:type="dxa"/>
            </w:tcMar>
          </w:tcPr>
          <w:p>
            <w:pPr>
              <w:spacing w:after="0" w:line="269" w:lineRule="auto"/>
            </w:pPr>
            <w:r>
              <w:rPr>
                <w:rFonts w:ascii="Inter" w:hAnsi="Inter"/>
                <w:b w:val="0"/>
                <w:i w:val="0"/>
                <w:color w:val="1A2B45"/>
                <w:sz w:val="19"/>
              </w:rPr>
              <w:t>Monthly terms</w:t>
            </w:r>
          </w:p>
        </w:tc>
        <w:tc>
          <w:tcPr>
            <w:tcW w:type="dxa" w:w="6192"/>
            <w:tcMar>
              <w:top w:w="60" w:type="dxa"/>
              <w:bottom w:w="60" w:type="dxa"/>
              <w:start w:w="110" w:type="dxa"/>
              <w:end w:w="110" w:type="dxa"/>
            </w:tcMar>
          </w:tcPr>
          <w:p>
            <w:pPr>
              <w:spacing w:after="0" w:line="269" w:lineRule="auto"/>
            </w:pPr>
            <w:r>
              <w:rPr>
                <w:rFonts w:ascii="Inter" w:hAnsi="Inter"/>
                <w:b w:val="0"/>
                <w:i w:val="0"/>
                <w:color w:val="1A2B45"/>
                <w:sz w:val="19"/>
              </w:rPr>
              <w:t>Month-to-month standard; annual optional with discount. No lock-in, ever.</w:t>
            </w:r>
          </w:p>
        </w:tc>
      </w:tr>
      <w:tr>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9"/>
              </w:rPr>
              <w:t>AI included</w:t>
            </w:r>
          </w:p>
        </w:tc>
        <w:tc>
          <w:tcPr>
            <w:tcW w:type="dxa" w:w="61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Triage, summaries, drafts in base price. Competitors charge $29–$50/agent extra and are resented for it.</w:t>
            </w:r>
          </w:p>
        </w:tc>
      </w:tr>
      <w:tr>
        <w:tc>
          <w:tcPr>
            <w:tcW w:type="dxa" w:w="2448"/>
            <w:tcMar>
              <w:top w:w="60" w:type="dxa"/>
              <w:bottom w:w="60" w:type="dxa"/>
              <w:start w:w="110" w:type="dxa"/>
              <w:end w:w="110" w:type="dxa"/>
            </w:tcMar>
          </w:tcPr>
          <w:p>
            <w:pPr>
              <w:spacing w:after="0" w:line="269" w:lineRule="auto"/>
            </w:pPr>
            <w:r>
              <w:rPr>
                <w:rFonts w:ascii="Inter" w:hAnsi="Inter"/>
                <w:b w:val="0"/>
                <w:i w:val="0"/>
                <w:color w:val="1A2B45"/>
                <w:sz w:val="19"/>
              </w:rPr>
              <w:t>Unlimited clients</w:t>
            </w:r>
          </w:p>
        </w:tc>
        <w:tc>
          <w:tcPr>
            <w:tcW w:type="dxa" w:w="6192"/>
            <w:tcMar>
              <w:top w:w="60" w:type="dxa"/>
              <w:bottom w:w="60" w:type="dxa"/>
              <w:start w:w="110" w:type="dxa"/>
              <w:end w:w="110" w:type="dxa"/>
            </w:tcMar>
          </w:tcPr>
          <w:p>
            <w:pPr>
              <w:spacing w:after="0" w:line="269" w:lineRule="auto"/>
            </w:pPr>
            <w:r>
              <w:rPr>
                <w:rFonts w:ascii="Inter" w:hAnsi="Inter"/>
                <w:b w:val="0"/>
                <w:i w:val="0"/>
                <w:color w:val="1A2B45"/>
                <w:sz w:val="19"/>
              </w:rPr>
              <w:t>Per-tech pricing only; adding a 200-endpoint client never changes the bill (mirrors Syncro/Atera’s most-loved trait).</w:t>
            </w:r>
          </w:p>
        </w:tc>
      </w:tr>
      <w:tr>
        <w:tc>
          <w:tcPr>
            <w:tcW w:type="dxa" w:w="2448"/>
            <w:tcMar>
              <w:top w:w="60" w:type="dxa"/>
              <w:bottom w:w="60" w:type="dxa"/>
              <w:start w:w="110" w:type="dxa"/>
              <w:end w:w="110" w:type="dxa"/>
            </w:tcMar>
            <w:shd w:val="clear" w:fill="EAF3FF"/>
          </w:tcPr>
          <w:p>
            <w:pPr>
              <w:spacing w:after="0" w:line="269" w:lineRule="auto"/>
            </w:pPr>
            <w:r>
              <w:rPr>
                <w:rFonts w:ascii="Inter" w:hAnsi="Inter"/>
                <w:b w:val="0"/>
                <w:i w:val="0"/>
                <w:color w:val="1A2B45"/>
                <w:sz w:val="19"/>
              </w:rPr>
              <w:t>Suite gravity</w:t>
            </w:r>
          </w:p>
        </w:tc>
        <w:tc>
          <w:tcPr>
            <w:tcW w:type="dxa" w:w="61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Milepost + Coastmark + Safeharbor bundle: meaningful discount for the full route — priced so the suite is the obvious choice, never a penalty for buying one app.</w:t>
            </w:r>
          </w:p>
        </w:tc>
      </w:tr>
      <w:tr>
        <w:tc>
          <w:tcPr>
            <w:tcW w:type="dxa" w:w="2448"/>
            <w:tcMar>
              <w:top w:w="60" w:type="dxa"/>
              <w:bottom w:w="60" w:type="dxa"/>
              <w:start w:w="110" w:type="dxa"/>
              <w:end w:w="110" w:type="dxa"/>
            </w:tcMar>
          </w:tcPr>
          <w:p>
            <w:pPr>
              <w:spacing w:after="0" w:line="269" w:lineRule="auto"/>
            </w:pPr>
            <w:r>
              <w:rPr>
                <w:rFonts w:ascii="Inter" w:hAnsi="Inter"/>
                <w:b w:val="0"/>
                <w:i w:val="0"/>
                <w:color w:val="1A2B45"/>
                <w:sz w:val="19"/>
              </w:rPr>
              <w:t>Founding-member program</w:t>
            </w:r>
          </w:p>
        </w:tc>
        <w:tc>
          <w:tcPr>
            <w:tcW w:type="dxa" w:w="6192"/>
            <w:tcMar>
              <w:top w:w="60" w:type="dxa"/>
              <w:bottom w:w="60" w:type="dxa"/>
              <w:start w:w="110" w:type="dxa"/>
              <w:end w:w="110" w:type="dxa"/>
            </w:tcMar>
          </w:tcPr>
          <w:p>
            <w:pPr>
              <w:spacing w:after="0" w:line="269" w:lineRule="auto"/>
            </w:pPr>
            <w:r>
              <w:rPr>
                <w:rFonts w:ascii="Inter" w:hAnsi="Inter"/>
                <w:b w:val="0"/>
                <w:i w:val="0"/>
                <w:color w:val="1A2B45"/>
                <w:sz w:val="19"/>
              </w:rPr>
              <w:t>Phase 2 design partners: lifetime discount + direct line to the team in exchange for honest abuse.</w:t>
            </w:r>
          </w:p>
        </w:tc>
      </w:tr>
    </w:tbl>
    <w:p>
      <w:pPr>
        <w:spacing w:after="120"/>
      </w:pPr>
      <w:r>
        <w:rPr>
          <w:rFonts w:ascii="Inter" w:hAnsi="Inter"/>
          <w:b w:val="0"/>
          <w:i w:val="0"/>
          <w:color w:val="1A2B45"/>
          <w:sz w:val="4"/>
        </w:rPr>
      </w:r>
    </w:p>
    <w:p>
      <w:pPr>
        <w:spacing w:after="120" w:line="283" w:lineRule="auto"/>
      </w:pPr>
      <w:r>
        <w:rPr>
          <w:rFonts w:ascii="Inter" w:hAnsi="Inter"/>
          <w:b w:val="0"/>
          <w:i/>
          <w:color w:val="51627C"/>
          <w:sz w:val="21"/>
        </w:rPr>
        <w:t>Position check: below Syncro’s $129 and Halo’s ~$89+5-seat minimum, above Zoho-grade “cheap but not MSP.” The price should read as honest, not cheap.</w:t>
      </w:r>
    </w:p>
    <w:p>
      <w:pPr>
        <w:spacing w:before="40" w:after="0"/>
      </w:pPr>
      <w:r>
        <w:rPr>
          <w:rFonts w:ascii="Inter" w:hAnsi="Inter"/>
          <w:b/>
          <w:i w:val="0"/>
          <w:color w:val="54A8FF"/>
          <w:sz w:val="17"/>
        </w:rPr>
        <w:t>SECTION 9</w:t>
      </w:r>
    </w:p>
    <w:p>
      <w:pPr>
        <w:spacing w:before="440" w:after="160"/>
        <w:pBdr>
          <w:bottom w:val="single" w:sz="14" w:space="6" w:color="2D8CFF"/>
        </w:pBdr>
      </w:pPr>
      <w:r>
        <w:rPr>
          <w:rFonts w:ascii="Inter" w:hAnsi="Inter"/>
          <w:b/>
          <w:i w:val="0"/>
          <w:color w:val="0B2448"/>
          <w:sz w:val="34"/>
        </w:rPr>
        <w:t>Success Metrics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592"/>
            <w:shd w:val="clear" w:fill="0B2448"/>
            <w:tcMar>
              <w:top w:w="60" w:type="dxa"/>
              <w:bottom w:w="60" w:type="dxa"/>
              <w:start w:w="110" w:type="dxa"/>
              <w:end w:w="110" w:type="dxa"/>
            </w:tcMar>
          </w:tcPr>
          <w:p>
            <w:pPr>
              <w:spacing w:after="0"/>
            </w:pPr>
            <w:r>
              <w:rPr>
                <w:rFonts w:ascii="Inter" w:hAnsi="Inter"/>
                <w:b/>
                <w:i w:val="0"/>
                <w:color w:val="FFFFFF"/>
                <w:sz w:val="19"/>
              </w:rPr>
              <w:t>Metric</w:t>
            </w:r>
          </w:p>
        </w:tc>
        <w:tc>
          <w:tcPr>
            <w:tcW w:type="dxa" w:w="2592"/>
            <w:shd w:val="clear" w:fill="0B2448"/>
            <w:tcMar>
              <w:top w:w="60" w:type="dxa"/>
              <w:bottom w:w="60" w:type="dxa"/>
              <w:start w:w="110" w:type="dxa"/>
              <w:end w:w="110" w:type="dxa"/>
            </w:tcMar>
          </w:tcPr>
          <w:p>
            <w:pPr>
              <w:spacing w:after="0"/>
            </w:pPr>
            <w:r>
              <w:rPr>
                <w:rFonts w:ascii="Inter" w:hAnsi="Inter"/>
                <w:b/>
                <w:i w:val="0"/>
                <w:color w:val="FFFFFF"/>
                <w:sz w:val="19"/>
              </w:rPr>
              <w:t>Target</w:t>
            </w:r>
          </w:p>
        </w:tc>
        <w:tc>
          <w:tcPr>
            <w:tcW w:type="dxa" w:w="3456"/>
            <w:shd w:val="clear" w:fill="0B2448"/>
            <w:tcMar>
              <w:top w:w="60" w:type="dxa"/>
              <w:bottom w:w="60" w:type="dxa"/>
              <w:start w:w="110" w:type="dxa"/>
              <w:end w:w="110" w:type="dxa"/>
            </w:tcMar>
          </w:tcPr>
          <w:p>
            <w:pPr>
              <w:spacing w:after="0"/>
            </w:pPr>
            <w:r>
              <w:rPr>
                <w:rFonts w:ascii="Inter" w:hAnsi="Inter"/>
                <w:b/>
                <w:i w:val="0"/>
                <w:color w:val="FFFFFF"/>
                <w:sz w:val="19"/>
              </w:rPr>
              <w:t>Why it matters</w:t>
            </w:r>
          </w:p>
        </w:tc>
      </w:tr>
      <w:tr>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Time to first ticket</w:t>
            </w:r>
          </w:p>
        </w:tc>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&lt; 10 minutes from signup</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Onboarding is the first demo; incumbents take weeks</w:t>
            </w:r>
          </w:p>
        </w:tc>
      </w:tr>
      <w:tr>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Onboarding to productive</w:t>
            </w:r>
          </w:p>
        </w:tc>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&lt; 1 day, self-serve</w:t>
            </w:r>
          </w:p>
        </w:tc>
        <w:tc>
          <w:tcPr>
            <w:tcW w:type="dxa" w:w="3456"/>
            <w:tcMar>
              <w:top w:w="60" w:type="dxa"/>
              <w:bottom w:w="60" w:type="dxa"/>
              <w:start w:w="110" w:type="dxa"/>
              <w:end w:w="110" w:type="dxa"/>
            </w:tcMar>
            <w:shd w:val="clear" w:fill="EAF3FF"/>
          </w:tcPr>
          <w:p>
            <w:pPr>
              <w:spacing w:after="0" w:line="269" w:lineRule="auto"/>
            </w:pPr>
            <w:r>
              <w:rPr>
                <w:rFonts w:ascii="Inter" w:hAnsi="Inter"/>
                <w:b w:val="0"/>
                <w:i w:val="0"/>
                <w:color w:val="1A2B45"/>
                <w:sz w:val="19"/>
              </w:rPr>
              <w:t>Kills the #2 incumbent moat (implementation friction)</w:t>
            </w:r>
          </w:p>
        </w:tc>
      </w:tr>
      <w:tr>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Same-day time entry</w:t>
            </w:r>
          </w:p>
        </w:tc>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 80% of billable work</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Directly recovers the Friday-batch revenue leak</w:t>
            </w:r>
          </w:p>
        </w:tc>
      </w:tr>
      <w:tr>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p95 interaction latency</w:t>
            </w:r>
          </w:p>
        </w:tc>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&lt; 300ms in the queue</w:t>
            </w:r>
          </w:p>
        </w:tc>
        <w:tc>
          <w:tcPr>
            <w:tcW w:type="dxa" w:w="3456"/>
            <w:tcMar>
              <w:top w:w="60" w:type="dxa"/>
              <w:bottom w:w="60" w:type="dxa"/>
              <w:start w:w="110" w:type="dxa"/>
              <w:end w:w="110" w:type="dxa"/>
            </w:tcMar>
            <w:shd w:val="clear" w:fill="EAF3FF"/>
          </w:tcPr>
          <w:p>
            <w:pPr>
              <w:spacing w:after="0" w:line="269" w:lineRule="auto"/>
            </w:pPr>
            <w:r>
              <w:rPr>
                <w:rFonts w:ascii="Inter" w:hAnsi="Inter"/>
                <w:b w:val="0"/>
                <w:i w:val="0"/>
                <w:color w:val="1A2B45"/>
                <w:sz w:val="19"/>
              </w:rPr>
              <w:t>Speed is the brand promise made measurable</w:t>
            </w:r>
          </w:p>
        </w:tc>
      </w:tr>
      <w:tr>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Beta → launch NPS</w:t>
            </w:r>
          </w:p>
        </w:tc>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 40 → ≥ 50</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Love, not tolerance — the wedge against incumbents</w:t>
            </w:r>
          </w:p>
        </w:tc>
      </w:tr>
      <w:tr>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CSAT (end users)</w:t>
            </w:r>
          </w:p>
        </w:tc>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 95%</w:t>
            </w:r>
          </w:p>
        </w:tc>
        <w:tc>
          <w:tcPr>
            <w:tcW w:type="dxa" w:w="3456"/>
            <w:tcMar>
              <w:top w:w="60" w:type="dxa"/>
              <w:bottom w:w="60" w:type="dxa"/>
              <w:start w:w="110" w:type="dxa"/>
              <w:end w:w="110" w:type="dxa"/>
            </w:tcMar>
            <w:shd w:val="clear" w:fill="EAF3FF"/>
          </w:tcPr>
          <w:p>
            <w:pPr>
              <w:spacing w:after="0" w:line="269" w:lineRule="auto"/>
            </w:pPr>
            <w:r>
              <w:rPr>
                <w:rFonts w:ascii="Inter" w:hAnsi="Inter"/>
                <w:b w:val="0"/>
                <w:i w:val="0"/>
                <w:color w:val="1A2B45"/>
                <w:sz w:val="19"/>
              </w:rPr>
              <w:t>The MSP’s clients feel the product too</w:t>
            </w:r>
          </w:p>
        </w:tc>
      </w:tr>
      <w:tr>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Importer-sourced logos</w:t>
            </w:r>
          </w:p>
        </w:tc>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 30% of new accounts</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Proof the switching-cost moat is breached</w:t>
            </w:r>
          </w:p>
        </w:tc>
      </w:tr>
      <w:tr>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Gross logo churn</w:t>
            </w:r>
          </w:p>
        </w:tc>
        <w:tc>
          <w:tcPr>
            <w:tcW w:type="dxa" w:w="2592"/>
            <w:tcMar>
              <w:top w:w="60" w:type="dxa"/>
              <w:bottom w:w="60" w:type="dxa"/>
              <w:start w:w="110" w:type="dxa"/>
              <w:end w:w="110" w:type="dxa"/>
            </w:tcMar>
            <w:shd w:val="clear" w:fill="EAF3FF"/>
          </w:tcPr>
          <w:p>
            <w:pPr>
              <w:spacing w:after="0" w:line="269" w:lineRule="auto"/>
            </w:pPr>
            <w:r>
              <w:rPr>
                <w:rFonts w:ascii="Inter" w:hAnsi="Inter"/>
                <w:b w:val="0"/>
                <w:i w:val="0"/>
                <w:color w:val="1A2B45"/>
                <w:sz w:val="19"/>
              </w:rPr>
              <w:t>&lt; 3% / month by Phase 4</w:t>
            </w:r>
          </w:p>
        </w:tc>
        <w:tc>
          <w:tcPr>
            <w:tcW w:type="dxa" w:w="3456"/>
            <w:tcMar>
              <w:top w:w="60" w:type="dxa"/>
              <w:bottom w:w="60" w:type="dxa"/>
              <w:start w:w="110" w:type="dxa"/>
              <w:end w:w="110" w:type="dxa"/>
            </w:tcMar>
            <w:shd w:val="clear" w:fill="EAF3FF"/>
          </w:tcPr>
          <w:p>
            <w:pPr>
              <w:spacing w:after="0" w:line="269" w:lineRule="auto"/>
            </w:pPr>
            <w:r>
              <w:rPr>
                <w:rFonts w:ascii="Inter" w:hAnsi="Inter"/>
                <w:b w:val="0"/>
                <w:i w:val="0"/>
                <w:color w:val="1A2B45"/>
                <w:sz w:val="19"/>
              </w:rPr>
              <w:t>Simplicity must retain, not just attract</w:t>
            </w:r>
          </w:p>
        </w:tc>
      </w:tr>
      <w:tr>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Suite attach rate</w:t>
            </w:r>
          </w:p>
        </w:tc>
        <w:tc>
          <w:tcPr>
            <w:tcW w:type="dxa" w:w="2592"/>
            <w:tcMar>
              <w:top w:w="60" w:type="dxa"/>
              <w:bottom w:w="60" w:type="dxa"/>
              <w:start w:w="110" w:type="dxa"/>
              <w:end w:w="110" w:type="dxa"/>
            </w:tcMar>
          </w:tcPr>
          <w:p>
            <w:pPr>
              <w:spacing w:after="0" w:line="269" w:lineRule="auto"/>
            </w:pPr>
            <w:r>
              <w:rPr>
                <w:rFonts w:ascii="Inter" w:hAnsi="Inter"/>
                <w:b w:val="0"/>
                <w:i w:val="0"/>
                <w:color w:val="1A2B45"/>
                <w:sz w:val="19"/>
              </w:rPr>
              <w:t>&gt; 60% use ≥ 2 of 3 apps</w:t>
            </w:r>
          </w:p>
        </w:tc>
        <w:tc>
          <w:tcPr>
            <w:tcW w:type="dxa" w:w="3456"/>
            <w:tcMar>
              <w:top w:w="60" w:type="dxa"/>
              <w:bottom w:w="60" w:type="dxa"/>
              <w:start w:w="110" w:type="dxa"/>
              <w:end w:w="110" w:type="dxa"/>
            </w:tcMar>
          </w:tcPr>
          <w:p>
            <w:pPr>
              <w:spacing w:after="0" w:line="269" w:lineRule="auto"/>
            </w:pPr>
            <w:r>
              <w:rPr>
                <w:rFonts w:ascii="Inter" w:hAnsi="Inter"/>
                <w:b w:val="0"/>
                <w:i w:val="0"/>
                <w:color w:val="1A2B45"/>
                <w:sz w:val="19"/>
              </w:rPr>
              <w:t>The architectural advantage shows up in revenue</w:t>
            </w:r>
          </w:p>
        </w:tc>
      </w:tr>
    </w:tbl>
    <w:p>
      <w:pPr>
        <w:spacing w:before="40" w:after="0"/>
      </w:pPr>
      <w:r>
        <w:rPr>
          <w:rFonts w:ascii="Inter" w:hAnsi="Inter"/>
          <w:b/>
          <w:i w:val="0"/>
          <w:color w:val="54A8FF"/>
          <w:sz w:val="17"/>
        </w:rPr>
        <w:t>SECTION 10</w:t>
      </w:r>
    </w:p>
    <w:p>
      <w:pPr>
        <w:spacing w:before="440" w:after="160"/>
        <w:pBdr>
          <w:bottom w:val="single" w:sz="14" w:space="6" w:color="2D8CFF"/>
        </w:pBdr>
      </w:pPr>
      <w:r>
        <w:rPr>
          <w:rFonts w:ascii="Inter" w:hAnsi="Inter"/>
          <w:b/>
          <w:i w:val="0"/>
          <w:color w:val="0B2448"/>
          <w:sz w:val="34"/>
        </w:rPr>
        <w:t>Risks &amp; Mitigations</w:t>
      </w:r>
    </w:p>
    <w:tbl>
      <w:tblPr>
        <w:tblStyle w:val="TableGrid"/>
        <w:tblW w:type="auto" w:w="0"/>
        <w:jc w:val="center"/>
        <w:tblLayout w:type="fixed"/>
        <w:tblLook w:firstColumn="1" w:firstRow="1" w:lastColumn="0" w:lastRow="0" w:noHBand="0" w:noVBand="1" w:val="04A0"/>
      </w:tblPr>
      <w:tblGrid>
        <w:gridCol w:w="4824"/>
        <w:gridCol w:w="4824"/>
      </w:tblGrid>
      <w:tr>
        <w:tc>
          <w:tcPr>
            <w:tcW w:type="dxa" w:w="3744"/>
            <w:shd w:val="clear" w:fill="0B2448"/>
            <w:tcMar>
              <w:top w:w="60" w:type="dxa"/>
              <w:bottom w:w="60" w:type="dxa"/>
              <w:start w:w="110" w:type="dxa"/>
              <w:end w:w="110" w:type="dxa"/>
            </w:tcMar>
          </w:tcPr>
          <w:p>
            <w:pPr>
              <w:spacing w:after="0"/>
            </w:pPr>
            <w:r>
              <w:rPr>
                <w:rFonts w:ascii="Inter" w:hAnsi="Inter"/>
                <w:b/>
                <w:i w:val="0"/>
                <w:color w:val="FFFFFF"/>
                <w:sz w:val="19"/>
              </w:rPr>
              <w:t>Risk</w:t>
            </w:r>
          </w:p>
        </w:tc>
        <w:tc>
          <w:tcPr>
            <w:tcW w:type="dxa" w:w="4896"/>
            <w:shd w:val="clear" w:fill="0B2448"/>
            <w:tcMar>
              <w:top w:w="60" w:type="dxa"/>
              <w:bottom w:w="60" w:type="dxa"/>
              <w:start w:w="110" w:type="dxa"/>
              <w:end w:w="110" w:type="dxa"/>
            </w:tcMar>
          </w:tcPr>
          <w:p>
            <w:pPr>
              <w:spacing w:after="0"/>
            </w:pPr>
            <w:r>
              <w:rPr>
                <w:rFonts w:ascii="Inter" w:hAnsi="Inter"/>
                <w:b/>
                <w:i w:val="0"/>
                <w:color w:val="FFFFFF"/>
                <w:sz w:val="19"/>
              </w:rPr>
              <w:t>Mitigation</w:t>
            </w:r>
          </w:p>
        </w:tc>
      </w:tr>
      <w:tr>
        <w:tc>
          <w:tcPr>
            <w:tcW w:type="dxa" w:w="3744"/>
            <w:tcMar>
              <w:top w:w="60" w:type="dxa"/>
              <w:bottom w:w="60" w:type="dxa"/>
              <w:start w:w="110" w:type="dxa"/>
              <w:end w:w="110" w:type="dxa"/>
            </w:tcMar>
          </w:tcPr>
          <w:p>
            <w:pPr>
              <w:spacing w:after="0" w:line="269" w:lineRule="auto"/>
            </w:pPr>
            <w:r>
              <w:rPr>
                <w:rFonts w:ascii="Inter" w:hAnsi="Inter"/>
                <w:b w:val="0"/>
                <w:i w:val="0"/>
                <w:color w:val="1A2B45"/>
                <w:sz w:val="19"/>
              </w:rPr>
              <w:t>Scope creep into PSA bloat — becoming the thing we’re replacing</w:t>
            </w:r>
          </w:p>
        </w:tc>
        <w:tc>
          <w:tcPr>
            <w:tcW w:type="dxa" w:w="4896"/>
            <w:tcMar>
              <w:top w:w="60" w:type="dxa"/>
              <w:bottom w:w="60" w:type="dxa"/>
              <w:start w:w="110" w:type="dxa"/>
              <w:end w:w="110" w:type="dxa"/>
            </w:tcMar>
          </w:tcPr>
          <w:p>
            <w:pPr>
              <w:spacing w:after="0" w:line="269" w:lineRule="auto"/>
            </w:pPr>
            <w:r>
              <w:rPr>
                <w:rFonts w:ascii="Inter" w:hAnsi="Inter"/>
                <w:b w:val="0"/>
                <w:i w:val="0"/>
                <w:color w:val="1A2B45"/>
                <w:sz w:val="19"/>
              </w:rPr>
              <w:t>The complexity budget is law: every feature earns its click. Phase exit criteria are enforced. Say no in public, on a principles page.</w:t>
            </w:r>
          </w:p>
        </w:tc>
      </w:tr>
      <w:tr>
        <w:tc>
          <w:tcPr>
            <w:tcW w:type="dxa" w:w="3744"/>
            <w:tcMar>
              <w:top w:w="60" w:type="dxa"/>
              <w:bottom w:w="60" w:type="dxa"/>
              <w:start w:w="110" w:type="dxa"/>
              <w:end w:w="110" w:type="dxa"/>
            </w:tcMar>
            <w:shd w:val="clear" w:fill="EAF3FF"/>
          </w:tcPr>
          <w:p>
            <w:pPr>
              <w:spacing w:after="0" w:line="269" w:lineRule="auto"/>
            </w:pPr>
            <w:r>
              <w:rPr>
                <w:rFonts w:ascii="Inter" w:hAnsi="Inter"/>
                <w:b w:val="0"/>
                <w:i w:val="0"/>
                <w:color w:val="1A2B45"/>
                <w:sz w:val="19"/>
              </w:rPr>
              <w:t>Table-stakes gap: “simple” reads as “missing SLAs/contracts”</w:t>
            </w:r>
          </w:p>
        </w:tc>
        <w:tc>
          <w:tcPr>
            <w:tcW w:type="dxa" w:w="4896"/>
            <w:tcMar>
              <w:top w:w="60" w:type="dxa"/>
              <w:bottom w:w="60" w:type="dxa"/>
              <w:start w:w="110" w:type="dxa"/>
              <w:end w:w="110" w:type="dxa"/>
            </w:tcMar>
            <w:shd w:val="clear" w:fill="EAF3FF"/>
          </w:tcPr>
          <w:p>
            <w:pPr>
              <w:spacing w:after="0" w:line="269" w:lineRule="auto"/>
            </w:pPr>
            <w:r>
              <w:rPr>
                <w:rFonts w:ascii="Inter" w:hAnsi="Inter"/>
                <w:b w:val="0"/>
                <w:i w:val="0"/>
                <w:color w:val="1A2B45"/>
                <w:sz w:val="19"/>
              </w:rPr>
              <w:t>Phase 2 is explicitly the depth phase — SLAs, time-to-invoice, portal ship before launch. Never launch against Halo without them.</w:t>
            </w:r>
          </w:p>
        </w:tc>
      </w:tr>
      <w:tr>
        <w:tc>
          <w:tcPr>
            <w:tcW w:type="dxa" w:w="3744"/>
            <w:tcMar>
              <w:top w:w="60" w:type="dxa"/>
              <w:bottom w:w="60" w:type="dxa"/>
              <w:start w:w="110" w:type="dxa"/>
              <w:end w:w="110" w:type="dxa"/>
            </w:tcMar>
          </w:tcPr>
          <w:p>
            <w:pPr>
              <w:spacing w:after="0" w:line="269" w:lineRule="auto"/>
            </w:pPr>
            <w:r>
              <w:rPr>
                <w:rFonts w:ascii="Inter" w:hAnsi="Inter"/>
                <w:b w:val="0"/>
                <w:i w:val="0"/>
                <w:color w:val="1A2B45"/>
                <w:sz w:val="19"/>
              </w:rPr>
              <w:t>Migration friction keeps MSPs on incumbents</w:t>
            </w:r>
          </w:p>
        </w:tc>
        <w:tc>
          <w:tcPr>
            <w:tcW w:type="dxa" w:w="4896"/>
            <w:tcMar>
              <w:top w:w="60" w:type="dxa"/>
              <w:bottom w:w="60" w:type="dxa"/>
              <w:start w:w="110" w:type="dxa"/>
              <w:end w:w="110" w:type="dxa"/>
            </w:tcMar>
          </w:tcPr>
          <w:p>
            <w:pPr>
              <w:spacing w:after="0" w:line="269" w:lineRule="auto"/>
            </w:pPr>
            <w:r>
              <w:rPr>
                <w:rFonts w:ascii="Inter" w:hAnsi="Inter"/>
                <w:b w:val="0"/>
                <w:i w:val="0"/>
                <w:color w:val="1A2B45"/>
                <w:sz w:val="19"/>
              </w:rPr>
              <w:t>Importers are a launch feature (P3), not an afterthought; white-glove migration free during beta.</w:t>
            </w:r>
          </w:p>
        </w:tc>
      </w:tr>
      <w:tr>
        <w:tc>
          <w:tcPr>
            <w:tcW w:type="dxa" w:w="3744"/>
            <w:tcMar>
              <w:top w:w="60" w:type="dxa"/>
              <w:bottom w:w="60" w:type="dxa"/>
              <w:start w:w="110" w:type="dxa"/>
              <w:end w:w="110" w:type="dxa"/>
            </w:tcMar>
            <w:shd w:val="clear" w:fill="EAF3FF"/>
          </w:tcPr>
          <w:p>
            <w:pPr>
              <w:spacing w:after="0" w:line="269" w:lineRule="auto"/>
            </w:pPr>
            <w:r>
              <w:rPr>
                <w:rFonts w:ascii="Inter" w:hAnsi="Inter"/>
                <w:b w:val="0"/>
                <w:i w:val="0"/>
                <w:color w:val="1A2B45"/>
                <w:sz w:val="19"/>
              </w:rPr>
              <w:t>Suite dependency: Milepost/Coastmark timelines slip</w:t>
            </w:r>
          </w:p>
        </w:tc>
        <w:tc>
          <w:tcPr>
            <w:tcW w:type="dxa" w:w="4896"/>
            <w:tcMar>
              <w:top w:w="60" w:type="dxa"/>
              <w:bottom w:w="60" w:type="dxa"/>
              <w:start w:w="110" w:type="dxa"/>
              <w:end w:w="110" w:type="dxa"/>
            </w:tcMar>
            <w:shd w:val="clear" w:fill="EAF3FF"/>
          </w:tcPr>
          <w:p>
            <w:pPr>
              <w:spacing w:after="0" w:line="269" w:lineRule="auto"/>
            </w:pPr>
            <w:r>
              <w:rPr>
                <w:rFonts w:ascii="Inter" w:hAnsi="Inter"/>
                <w:b w:val="0"/>
                <w:i w:val="0"/>
                <w:color w:val="1A2B45"/>
                <w:sz w:val="19"/>
              </w:rPr>
              <w:t>Safeharbor must stand alone — integration flows degrade gracefully to email/CSV; no phase gates on another product’s code.</w:t>
            </w:r>
          </w:p>
        </w:tc>
      </w:tr>
      <w:tr>
        <w:tc>
          <w:tcPr>
            <w:tcW w:type="dxa" w:w="3744"/>
            <w:tcMar>
              <w:top w:w="60" w:type="dxa"/>
              <w:bottom w:w="60" w:type="dxa"/>
              <w:start w:w="110" w:type="dxa"/>
              <w:end w:w="110" w:type="dxa"/>
            </w:tcMar>
          </w:tcPr>
          <w:p>
            <w:pPr>
              <w:spacing w:after="0" w:line="269" w:lineRule="auto"/>
            </w:pPr>
            <w:r>
              <w:rPr>
                <w:rFonts w:ascii="Inter" w:hAnsi="Inter"/>
                <w:b w:val="0"/>
                <w:i w:val="0"/>
                <w:color w:val="1A2B45"/>
                <w:sz w:val="19"/>
              </w:rPr>
              <w:t>AI costs erode margins</w:t>
            </w:r>
          </w:p>
        </w:tc>
        <w:tc>
          <w:tcPr>
            <w:tcW w:type="dxa" w:w="4896"/>
            <w:tcMar>
              <w:top w:w="60" w:type="dxa"/>
              <w:bottom w:w="60" w:type="dxa"/>
              <w:start w:w="110" w:type="dxa"/>
              <w:end w:w="110" w:type="dxa"/>
            </w:tcMar>
          </w:tcPr>
          <w:p>
            <w:pPr>
              <w:spacing w:after="0" w:line="269" w:lineRule="auto"/>
            </w:pPr>
            <w:r>
              <w:rPr>
                <w:rFonts w:ascii="Inter" w:hAnsi="Inter"/>
                <w:b w:val="0"/>
                <w:i w:val="0"/>
                <w:color w:val="1A2B45"/>
                <w:sz w:val="19"/>
              </w:rPr>
              <w:t>Small models for triage/summaries, cached embeddings, per-workspace budgets; measure cost per resolved ticket from day one.</w:t>
            </w:r>
          </w:p>
        </w:tc>
      </w:tr>
      <w:tr>
        <w:tc>
          <w:tcPr>
            <w:tcW w:type="dxa" w:w="3744"/>
            <w:tcMar>
              <w:top w:w="60" w:type="dxa"/>
              <w:bottom w:w="60" w:type="dxa"/>
              <w:start w:w="110" w:type="dxa"/>
              <w:end w:w="110" w:type="dxa"/>
            </w:tcMar>
            <w:shd w:val="clear" w:fill="EAF3FF"/>
          </w:tcPr>
          <w:p>
            <w:pPr>
              <w:spacing w:after="0" w:line="269" w:lineRule="auto"/>
            </w:pPr>
            <w:r>
              <w:rPr>
                <w:rFonts w:ascii="Inter" w:hAnsi="Inter"/>
                <w:b w:val="0"/>
                <w:i w:val="0"/>
                <w:color w:val="1A2B45"/>
                <w:sz w:val="19"/>
              </w:rPr>
              <w:t>Small team, big surface area</w:t>
            </w:r>
          </w:p>
        </w:tc>
        <w:tc>
          <w:tcPr>
            <w:tcW w:type="dxa" w:w="4896"/>
            <w:tcMar>
              <w:top w:w="60" w:type="dxa"/>
              <w:bottom w:w="60" w:type="dxa"/>
              <w:start w:w="110" w:type="dxa"/>
              <w:end w:w="110" w:type="dxa"/>
            </w:tcMar>
            <w:shd w:val="clear" w:fill="EAF3FF"/>
          </w:tcPr>
          <w:p>
            <w:pPr>
              <w:spacing w:after="0" w:line="269" w:lineRule="auto"/>
            </w:pPr>
            <w:r>
              <w:rPr>
                <w:rFonts w:ascii="Inter" w:hAnsi="Inter"/>
                <w:b w:val="0"/>
                <w:i w:val="0"/>
                <w:color w:val="1A2B45"/>
                <w:sz w:val="19"/>
              </w:rPr>
              <w:t>Ruthless phase discipline; hire the first support engineer at public launch, not after the fire starts.</w:t>
            </w:r>
          </w:p>
        </w:tc>
      </w:tr>
      <w:tr>
        <w:tc>
          <w:tcPr>
            <w:tcW w:type="dxa" w:w="3744"/>
            <w:tcMar>
              <w:top w:w="60" w:type="dxa"/>
              <w:bottom w:w="60" w:type="dxa"/>
              <w:start w:w="110" w:type="dxa"/>
              <w:end w:w="110" w:type="dxa"/>
            </w:tcMar>
          </w:tcPr>
          <w:p>
            <w:pPr>
              <w:spacing w:after="0" w:line="269" w:lineRule="auto"/>
            </w:pPr>
            <w:r>
              <w:rPr>
                <w:rFonts w:ascii="Inter" w:hAnsi="Inter"/>
                <w:b w:val="0"/>
                <w:i w:val="0"/>
                <w:color w:val="1A2B45"/>
                <w:sz w:val="19"/>
              </w:rPr>
              <w:t>Security/compliance expectations (MSP tools are attack surfaces)</w:t>
            </w:r>
          </w:p>
        </w:tc>
        <w:tc>
          <w:tcPr>
            <w:tcW w:type="dxa" w:w="4896"/>
            <w:tcMar>
              <w:top w:w="60" w:type="dxa"/>
              <w:bottom w:w="60" w:type="dxa"/>
              <w:start w:w="110" w:type="dxa"/>
              <w:end w:w="110" w:type="dxa"/>
            </w:tcMar>
          </w:tcPr>
          <w:p>
            <w:pPr>
              <w:spacing w:after="0" w:line="269" w:lineRule="auto"/>
            </w:pPr>
            <w:r>
              <w:rPr>
                <w:rFonts w:ascii="Inter" w:hAnsi="Inter"/>
                <w:b w:val="0"/>
                <w:i w:val="0"/>
                <w:color w:val="1A2B45"/>
                <w:sz w:val="19"/>
              </w:rPr>
              <w:t>Secure-by-default from P0 (MFA, tenant isolation, audit logs); SOC 2 program starts in P4 — earlier if a design partner requires it.</w:t>
            </w:r>
          </w:p>
        </w:tc>
      </w:tr>
    </w:tbl>
    <w:p>
      <w:r>
        <w:br w:type="page"/>
      </w:r>
    </w:p>
    <w:p>
      <w:pPr>
        <w:spacing w:before="40" w:after="0"/>
      </w:pPr>
      <w:r>
        <w:rPr>
          <w:rFonts w:ascii="Inter" w:hAnsi="Inter"/>
          <w:b/>
          <w:i w:val="0"/>
          <w:color w:val="54A8FF"/>
          <w:sz w:val="17"/>
        </w:rPr>
        <w:t>APPENDIX</w:t>
      </w:r>
    </w:p>
    <w:p>
      <w:pPr>
        <w:spacing w:before="440" w:after="160"/>
        <w:pBdr>
          <w:bottom w:val="single" w:sz="14" w:space="6" w:color="2D8CFF"/>
        </w:pBdr>
      </w:pPr>
      <w:r>
        <w:rPr>
          <w:rFonts w:ascii="Inter" w:hAnsi="Inter"/>
          <w:b/>
          <w:i w:val="0"/>
          <w:color w:val="0B2448"/>
          <w:sz w:val="34"/>
        </w:rPr>
        <w:t>Sources &amp; Method</w:t>
      </w:r>
    </w:p>
    <w:p>
      <w:pPr>
        <w:spacing w:after="120" w:line="283" w:lineRule="auto"/>
      </w:pPr>
      <w:r>
        <w:rPr>
          <w:rFonts w:ascii="Inter" w:hAnsi="Inter"/>
          <w:b w:val="0"/>
          <w:i w:val="0"/>
          <w:color w:val="1A2B45"/>
          <w:sz w:val="21"/>
        </w:rPr>
        <w:t>Brand inputs were extracted directly from 8westit.com (markup + styles.css) on July 21, 2026 — palette tokens, typography, radii, and copy voice. Market findings were compiled the same day from the sources below; verbatim community quotes are cited via the secondary sources that quote the threads with attribution.</w:t>
      </w:r>
    </w:p>
    <w:p>
      <w:pPr>
        <w:pStyle w:val="ListBullet"/>
        <w:spacing w:after="60" w:line="276" w:lineRule="auto"/>
      </w:pPr>
      <w:r>
        <w:rPr>
          <w:rFonts w:ascii="Inter" w:hAnsi="Inter"/>
          <w:b w:val="0"/>
          <w:i w:val="0"/>
          <w:color w:val="1A2B45"/>
          <w:sz w:val="21"/>
        </w:rPr>
        <w:t>8westit.com — front page, styles.css, Milepost section (brand tokens, voice, suite framing)</w:t>
      </w:r>
    </w:p>
    <w:p>
      <w:pPr>
        <w:pStyle w:val="ListBullet"/>
        <w:spacing w:after="60" w:line="276" w:lineRule="auto"/>
      </w:pPr>
      <w:r>
        <w:rPr>
          <w:rFonts w:ascii="Inter" w:hAnsi="Inter"/>
          <w:b w:val="0"/>
          <w:i w:val="0"/>
          <w:color w:val="1A2B45"/>
          <w:sz w:val="21"/>
        </w:rPr>
        <w:t>flamingo.run — MSP PSA software comparison, HaloPSA review, SuperOps review, Syncro vs Atera, Kaseya BMS review (pricing tables, r/msp quote curation)</w:t>
      </w:r>
    </w:p>
    <w:p>
      <w:pPr>
        <w:pStyle w:val="ListBullet"/>
        <w:spacing w:after="60" w:line="276" w:lineRule="auto"/>
      </w:pPr>
      <w:r>
        <w:rPr>
          <w:rFonts w:ascii="Inter" w:hAnsi="Inter"/>
          <w:b w:val="0"/>
          <w:i w:val="0"/>
          <w:color w:val="1A2B45"/>
          <w:sz w:val="21"/>
        </w:rPr>
        <w:t>rallied.ai — ConnectWise Manage review; “what MSPs actually pay for HaloPSA” (community quotes, Halo pricing tiers and seat minimums)</w:t>
      </w:r>
    </w:p>
    <w:p>
      <w:pPr>
        <w:pStyle w:val="ListBullet"/>
        <w:spacing w:after="60" w:line="276" w:lineRule="auto"/>
      </w:pPr>
      <w:r>
        <w:rPr>
          <w:rFonts w:ascii="Inter" w:hAnsi="Inter"/>
          <w:b w:val="0"/>
          <w:i w:val="0"/>
          <w:color w:val="1A2B45"/>
          <w:sz w:val="21"/>
        </w:rPr>
        <w:t>syncrosecure.com/pricing, zendesk.com/pricing, freshservice.com/pricing, zoho.com/desk/pricing.html — official pricing pages</w:t>
      </w:r>
    </w:p>
    <w:p>
      <w:pPr>
        <w:pStyle w:val="ListBullet"/>
        <w:spacing w:after="60" w:line="276" w:lineRule="auto"/>
      </w:pPr>
      <w:r>
        <w:rPr>
          <w:rFonts w:ascii="Inter" w:hAnsi="Inter"/>
          <w:b w:val="0"/>
          <w:i w:val="0"/>
          <w:color w:val="1A2B45"/>
          <w:sz w:val="21"/>
        </w:rPr>
        <w:t>mspcompared.com — Autotask review (cons, ratings)</w:t>
      </w:r>
    </w:p>
    <w:p>
      <w:pPr>
        <w:pStyle w:val="ListBullet"/>
        <w:spacing w:after="60" w:line="276" w:lineRule="auto"/>
      </w:pPr>
      <w:r>
        <w:rPr>
          <w:rFonts w:ascii="Inter" w:hAnsi="Inter"/>
          <w:b w:val="0"/>
          <w:i w:val="0"/>
          <w:color w:val="1A2B45"/>
          <w:sz w:val="21"/>
        </w:rPr>
        <w:t>xurrent.com — MSP ticketing systems taxonomy (multi-tenant requirement, Zendesk gap)</w:t>
      </w:r>
    </w:p>
    <w:p>
      <w:pPr>
        <w:pStyle w:val="ListBullet"/>
        <w:spacing w:after="60" w:line="276" w:lineRule="auto"/>
      </w:pPr>
      <w:r>
        <w:rPr>
          <w:rFonts w:ascii="Inter" w:hAnsi="Inter"/>
          <w:b w:val="0"/>
          <w:i w:val="0"/>
          <w:color w:val="1A2B45"/>
          <w:sz w:val="21"/>
        </w:rPr>
        <w:t>supportbench.com — helpdesk feature priorities for MSPs</w:t>
      </w:r>
    </w:p>
    <w:p>
      <w:pPr>
        <w:pStyle w:val="ListBullet"/>
        <w:spacing w:after="60" w:line="276" w:lineRule="auto"/>
      </w:pPr>
      <w:r>
        <w:rPr>
          <w:rFonts w:ascii="Inter" w:hAnsi="Inter"/>
          <w:b w:val="0"/>
          <w:i w:val="0"/>
          <w:color w:val="1A2B45"/>
          <w:sz w:val="21"/>
        </w:rPr>
        <w:t>blakecrosley.com — Linear design-principles teardown (speed, palette, keyboard model)</w:t>
      </w:r>
    </w:p>
    <w:p>
      <w:pPr>
        <w:pStyle w:val="ListBullet"/>
        <w:spacing w:after="60" w:line="276" w:lineRule="auto"/>
      </w:pPr>
      <w:r>
        <w:rPr>
          <w:rFonts w:ascii="Inter" w:hAnsi="Inter"/>
          <w:b w:val="0"/>
          <w:i w:val="0"/>
          <w:color w:val="1A2B45"/>
          <w:sz w:val="21"/>
        </w:rPr>
        <w:t>r/msp thread corpus via search snippets (PSA recommendations, Autotask facelift reactions, Syncro switching threads, email-vs-portal intake)</w:t>
      </w:r>
    </w:p>
    <w:p>
      <w:pPr>
        <w:spacing w:after="120"/>
      </w:pPr>
      <w:r>
        <w:rPr>
          <w:rFonts w:ascii="Inter" w:hAnsi="Inter"/>
          <w:b w:val="0"/>
          <w:i w:val="0"/>
          <w:color w:val="1A2B45"/>
          <w:sz w:val="4"/>
        </w:rPr>
      </w:r>
    </w:p>
    <w:p>
      <w:pPr>
        <w:spacing w:after="120" w:line="283" w:lineRule="auto"/>
      </w:pPr>
      <w:r>
        <w:rPr>
          <w:rFonts w:ascii="Inter" w:hAnsi="Inter"/>
          <w:b w:val="0"/>
          <w:i/>
          <w:color w:val="51627C"/>
          <w:sz w:val="21"/>
        </w:rPr>
        <w:t>Known limitations: Reddit blocked direct fetching during research, so community quotes are carried via secondary sources that reproduce them verbatim. Zoho Desk tier prices are approximate. All pricing “estimates” marked as such were not verifiable against a live vendor page and should be re-checked before external use.</w:t>
      </w:r>
    </w:p>
    <w:p>
      <w:pPr>
        <w:spacing w:after="200"/>
      </w:pPr>
      <w:r>
        <w:rPr>
          <w:rFonts w:ascii="Inter" w:hAnsi="Inter"/>
          <w:b w:val="0"/>
          <w:i w:val="0"/>
          <w:color w:val="1A2B45"/>
          <w:sz w:val="4"/>
        </w:rPr>
      </w:r>
    </w:p>
    <w:p>
      <w:pPr>
        <w:jc w:val="center"/>
      </w:pPr>
      <w:r>
        <w:rPr>
          <w:rFonts w:ascii="Inter" w:hAnsi="Inter"/>
          <w:b w:val="0"/>
          <w:i/>
          <w:color w:val="51627C"/>
          <w:sz w:val="18"/>
        </w:rPr>
        <w:t>— 8 West IT, LLC · Safeharbor planning draft v1.1 · July 2026 —</w:t>
      </w:r>
    </w:p>
    <w:sectPr w:rsidR="00FC693F" w:rsidRPr="0006063C" w:rsidSect="00034616">
      <w:footerReference w:type="default" r:id="rId12"/>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i w:val="0"/>
        <w:color w:val="51627C"/>
        <w:sz w:val="16"/>
      </w:rPr>
      <w:t>8 West IT, LLC — Confidential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A2B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9E3B0051F1B8149821CDE4A44F7325D" ma:contentTypeVersion="16" ma:contentTypeDescription="Create a new document." ma:contentTypeScope="" ma:versionID="434cc72582867d24817bd9642aa5dec8">
  <xsd:schema xmlns:xsd="http://www.w3.org/2001/XMLSchema" xmlns:xs="http://www.w3.org/2001/XMLSchema" xmlns:p="http://schemas.microsoft.com/office/2006/metadata/properties" xmlns:ns2="f13b65d8-2514-44d6-8b44-36db071ed2c9" xmlns:ns3="b3e25f06-2eee-4e34-ad22-7c7a34ef7bf5" targetNamespace="http://schemas.microsoft.com/office/2006/metadata/properties" ma:root="true" ma:fieldsID="e2ac5dc681e27ab38ec87aa21633a069" ns2:_="" ns3:_="">
    <xsd:import namespace="f13b65d8-2514-44d6-8b44-36db071ed2c9"/>
    <xsd:import namespace="b3e25f06-2eee-4e34-ad22-7c7a34ef7b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ObjectDetectorVersion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b65d8-2514-44d6-8b44-36db071ed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b93af32-b32d-4943-85de-e5669dcebf9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e25f06-2eee-4e34-ad22-7c7a34ef7bf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9aafd8df-9d1d-465f-90d5-5f8865ed4183}" ma:internalName="TaxCatchAll" ma:showField="CatchAllData" ma:web="b3e25f06-2eee-4e34-ad22-7c7a34ef7b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3e25f06-2eee-4e34-ad22-7c7a34ef7bf5" xsi:nil="true"/>
    <lcf76f155ced4ddcb4097134ff3c332f xmlns="f13b65d8-2514-44d6-8b44-36db071ed2c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3BBDC7-B4BC-493E-B4F5-0E6B560CCAB2}"/>
</file>

<file path=customXml/itemProps3.xml><?xml version="1.0" encoding="utf-8"?>
<ds:datastoreItem xmlns:ds="http://schemas.openxmlformats.org/officeDocument/2006/customXml" ds:itemID="{5E5CDE58-5395-4DCF-88D3-3372B17BDF5B}"/>
</file>

<file path=customXml/itemProps4.xml><?xml version="1.0" encoding="utf-8"?>
<ds:datastoreItem xmlns:ds="http://schemas.openxmlformats.org/officeDocument/2006/customXml" ds:itemID="{6B4DE0AF-EFD9-4A26-90F6-AB961E10058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0x01010039E3B0051F1B8149821CDE4A44F7325D</vt:lpwstr>
  </property>
</Properties>
</file>