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300"/>
        <w:ind w:firstLine="709"/>
        <w:jc w:val="center"/>
        <w:rPr>
          <w:rFonts w:ascii="Times New Roman" w:hAnsi="Times New Roman" w:cs="Times New Roman"/>
          <w:b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Дополнительное соглашение</w:t>
      </w:r>
    </w:p>
    <w:p>
      <w:pPr>
        <w:pStyle w:val="Normal"/>
        <w:spacing w:lineRule="atLeast" w:line="300"/>
        <w:ind w:firstLine="709"/>
        <w:jc w:val="center"/>
        <w:rPr>
          <w:rFonts w:ascii="Times New Roman" w:hAnsi="Times New Roman" w:cs="Times New Roman"/>
          <w:b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 xml:space="preserve"> </w:t>
      </w:r>
    </w:p>
    <w:p>
      <w:pPr>
        <w:pStyle w:val="Normal"/>
        <w:spacing w:lineRule="atLeast" w:line="300"/>
        <w:ind w:firstLine="709"/>
        <w:jc w:val="center"/>
        <w:rPr>
          <w:rFonts w:ascii="Times New Roman" w:hAnsi="Times New Roman" w:cs="Times New Roman"/>
          <w:b/>
          <w:b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 xml:space="preserve">к Договору № </w:t>
      </w:r>
      <w:r>
        <w:rPr>
          <w:rFonts w:cs="Times New Roman" w:ascii="Times New Roman" w:hAnsi="Times New Roman"/>
          <w:color w:val="FF0000"/>
          <w:sz w:val="22"/>
          <w:szCs w:val="22"/>
        </w:rPr>
        <w:t xml:space="preserve">[номер] </w:t>
      </w:r>
      <w:r>
        <w:rPr>
          <w:rFonts w:cs="Times New Roman" w:ascii="Times New Roman" w:hAnsi="Times New Roman"/>
          <w:sz w:val="22"/>
          <w:szCs w:val="22"/>
        </w:rPr>
        <w:t xml:space="preserve">от </w:t>
      </w:r>
      <w:r>
        <w:rPr>
          <w:rFonts w:cs="Times New Roman" w:ascii="Times New Roman" w:hAnsi="Times New Roman"/>
          <w:color w:val="FF0000"/>
          <w:sz w:val="22"/>
          <w:szCs w:val="22"/>
        </w:rPr>
        <w:t>[</w:t>
      </w:r>
      <w:r>
        <w:rPr>
          <w:rFonts w:cs="Times New Roman" w:ascii="Times New Roman" w:hAnsi="Times New Roman"/>
          <w:i/>
          <w:iCs/>
          <w:color w:val="FF0000"/>
          <w:sz w:val="22"/>
          <w:szCs w:val="22"/>
        </w:rPr>
        <w:t>дата, месяц, год</w:t>
      </w:r>
      <w:r>
        <w:rPr>
          <w:rFonts w:cs="Times New Roman" w:ascii="Times New Roman" w:hAnsi="Times New Roman"/>
          <w:color w:val="FF0000"/>
          <w:sz w:val="22"/>
          <w:szCs w:val="22"/>
        </w:rPr>
        <w:t>]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b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г. Москва</w:t>
        <w:tab/>
        <w:tab/>
        <w:tab/>
        <w:tab/>
        <w:tab/>
        <w:tab/>
        <w:tab/>
        <w:tab/>
        <w:t>«___»_______2025</w:t>
      </w:r>
    </w:p>
    <w:p>
      <w:pPr>
        <w:pStyle w:val="Normal"/>
        <w:spacing w:lineRule="atLeast" w:line="300"/>
        <w:jc w:val="both"/>
        <w:rPr>
          <w:rFonts w:ascii="Times New Roman" w:hAnsi="Times New Roman" w:cs="Times New Roman"/>
          <w:b/>
          <w:b/>
          <w:bCs/>
          <w:color w:val="FF0000"/>
          <w:sz w:val="22"/>
          <w:szCs w:val="22"/>
        </w:rPr>
      </w:pPr>
      <w:r>
        <w:rPr>
          <w:rFonts w:cs="Times New Roman" w:ascii="Times New Roman" w:hAnsi="Times New Roman"/>
          <w:b/>
          <w:bCs/>
          <w:color w:val="FF0000"/>
          <w:sz w:val="22"/>
          <w:szCs w:val="22"/>
        </w:rPr>
      </w:r>
    </w:p>
    <w:p>
      <w:pPr>
        <w:pStyle w:val="Normal"/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color w:val="FF0000"/>
          <w:sz w:val="22"/>
          <w:szCs w:val="22"/>
        </w:rPr>
        <w:t>[</w:t>
      </w:r>
      <w:r>
        <w:rPr>
          <w:rFonts w:cs="Times New Roman" w:ascii="Times New Roman" w:hAnsi="Times New Roman"/>
          <w:b/>
          <w:bCs/>
          <w:i/>
          <w:iCs/>
          <w:color w:val="FF0000"/>
          <w:sz w:val="22"/>
          <w:szCs w:val="22"/>
        </w:rPr>
        <w:t>Наименование компании</w:t>
      </w:r>
      <w:r>
        <w:rPr>
          <w:rFonts w:cs="Times New Roman" w:ascii="Times New Roman" w:hAnsi="Times New Roman"/>
          <w:b/>
          <w:bCs/>
          <w:color w:val="FF0000"/>
          <w:sz w:val="22"/>
          <w:szCs w:val="22"/>
        </w:rPr>
        <w:t>]</w:t>
      </w:r>
      <w:r>
        <w:rPr>
          <w:rFonts w:cs="Times New Roman" w:ascii="Times New Roman" w:hAnsi="Times New Roman"/>
          <w:sz w:val="22"/>
          <w:szCs w:val="22"/>
        </w:rPr>
        <w:t xml:space="preserve">, именуемое в дальнейшем </w:t>
      </w:r>
      <w:r>
        <w:rPr>
          <w:rFonts w:cs="Times New Roman" w:ascii="Times New Roman" w:hAnsi="Times New Roman"/>
          <w:b/>
          <w:bCs/>
          <w:sz w:val="22"/>
          <w:szCs w:val="22"/>
        </w:rPr>
        <w:t>«Заказчик»</w:t>
      </w:r>
      <w:r>
        <w:rPr>
          <w:rFonts w:cs="Times New Roman" w:ascii="Times New Roman" w:hAnsi="Times New Roman"/>
          <w:sz w:val="22"/>
          <w:szCs w:val="22"/>
        </w:rPr>
        <w:t xml:space="preserve">, в лице </w:t>
      </w:r>
      <w:r>
        <w:rPr>
          <w:rFonts w:cs="Times New Roman" w:ascii="Times New Roman" w:hAnsi="Times New Roman"/>
          <w:color w:val="FF0000"/>
          <w:sz w:val="22"/>
          <w:szCs w:val="22"/>
        </w:rPr>
        <w:t>[</w:t>
      </w:r>
      <w:r>
        <w:rPr>
          <w:rFonts w:cs="Times New Roman" w:ascii="Times New Roman" w:hAnsi="Times New Roman"/>
          <w:i/>
          <w:iCs/>
          <w:color w:val="FF0000"/>
          <w:sz w:val="22"/>
          <w:szCs w:val="22"/>
        </w:rPr>
        <w:t>ФИО подписанта и должность</w:t>
      </w:r>
      <w:r>
        <w:rPr>
          <w:rFonts w:cs="Times New Roman" w:ascii="Times New Roman" w:hAnsi="Times New Roman"/>
          <w:color w:val="FF0000"/>
          <w:sz w:val="22"/>
          <w:szCs w:val="22"/>
        </w:rPr>
        <w:t>]</w:t>
      </w:r>
      <w:r>
        <w:rPr>
          <w:rFonts w:cs="Times New Roman" w:ascii="Times New Roman" w:hAnsi="Times New Roman"/>
          <w:sz w:val="22"/>
          <w:szCs w:val="22"/>
        </w:rPr>
        <w:t xml:space="preserve">, действующего на основании </w:t>
      </w:r>
      <w:r>
        <w:rPr>
          <w:rFonts w:cs="Times New Roman" w:ascii="Times New Roman" w:hAnsi="Times New Roman"/>
          <w:color w:val="FF0000"/>
          <w:sz w:val="22"/>
          <w:szCs w:val="22"/>
        </w:rPr>
        <w:t>[</w:t>
      </w:r>
      <w:r>
        <w:rPr>
          <w:rFonts w:cs="Times New Roman" w:ascii="Times New Roman" w:hAnsi="Times New Roman"/>
          <w:i/>
          <w:iCs/>
          <w:color w:val="FF0000"/>
          <w:sz w:val="22"/>
          <w:szCs w:val="22"/>
        </w:rPr>
        <w:t>основание полномочий</w:t>
      </w:r>
      <w:r>
        <w:rPr>
          <w:rFonts w:cs="Times New Roman" w:ascii="Times New Roman" w:hAnsi="Times New Roman"/>
          <w:color w:val="FF0000"/>
          <w:sz w:val="22"/>
          <w:szCs w:val="22"/>
        </w:rPr>
        <w:t>]</w:t>
      </w:r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, с </w:t>
      </w:r>
      <w:r>
        <w:rPr>
          <w:rFonts w:cs="Times New Roman" w:ascii="Times New Roman" w:hAnsi="Times New Roman"/>
          <w:sz w:val="22"/>
          <w:szCs w:val="22"/>
        </w:rPr>
        <w:t>одной стороны, и</w:t>
      </w:r>
    </w:p>
    <w:p>
      <w:pPr>
        <w:pStyle w:val="Normal"/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color w:val="FF0000"/>
          <w:sz w:val="22"/>
          <w:szCs w:val="22"/>
        </w:rPr>
        <w:t>[</w:t>
      </w:r>
      <w:r>
        <w:rPr>
          <w:rFonts w:cs="Times New Roman" w:ascii="Times New Roman" w:hAnsi="Times New Roman"/>
          <w:b/>
          <w:bCs/>
          <w:i/>
          <w:iCs/>
          <w:color w:val="FF0000"/>
          <w:sz w:val="22"/>
          <w:szCs w:val="22"/>
        </w:rPr>
        <w:t>Наименование контрагента</w:t>
      </w:r>
      <w:r>
        <w:rPr>
          <w:rFonts w:cs="Times New Roman" w:ascii="Times New Roman" w:hAnsi="Times New Roman"/>
          <w:b/>
          <w:bCs/>
          <w:color w:val="FF0000"/>
          <w:sz w:val="22"/>
          <w:szCs w:val="22"/>
        </w:rPr>
        <w:t>]</w:t>
      </w:r>
      <w:r>
        <w:rPr>
          <w:rFonts w:cs="Times New Roman" w:ascii="Times New Roman" w:hAnsi="Times New Roman"/>
          <w:sz w:val="22"/>
          <w:szCs w:val="22"/>
        </w:rPr>
        <w:t>,</w:t>
      </w:r>
      <w:r>
        <w:rPr>
          <w:rFonts w:cs="Times New Roman" w:ascii="Times New Roman" w:hAnsi="Times New Roman"/>
          <w:b/>
          <w:bCs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именуемое в дальнейшем «</w:t>
      </w:r>
      <w:r>
        <w:rPr>
          <w:rFonts w:cs="Times New Roman" w:ascii="Times New Roman" w:hAnsi="Times New Roman"/>
          <w:b/>
          <w:bCs/>
          <w:sz w:val="22"/>
          <w:szCs w:val="22"/>
        </w:rPr>
        <w:t>Исполнитель</w:t>
      </w:r>
      <w:r>
        <w:rPr>
          <w:rFonts w:cs="Times New Roman" w:ascii="Times New Roman" w:hAnsi="Times New Roman"/>
          <w:sz w:val="22"/>
          <w:szCs w:val="22"/>
        </w:rPr>
        <w:t xml:space="preserve">», в лице </w:t>
      </w:r>
      <w:r>
        <w:rPr>
          <w:rFonts w:cs="Times New Roman" w:ascii="Times New Roman" w:hAnsi="Times New Roman"/>
          <w:color w:val="FF0000"/>
          <w:sz w:val="22"/>
          <w:szCs w:val="22"/>
        </w:rPr>
        <w:t>[</w:t>
      </w:r>
      <w:r>
        <w:rPr>
          <w:rFonts w:cs="Times New Roman" w:ascii="Times New Roman" w:hAnsi="Times New Roman"/>
          <w:i/>
          <w:iCs/>
          <w:color w:val="FF0000"/>
          <w:sz w:val="22"/>
          <w:szCs w:val="22"/>
        </w:rPr>
        <w:t>ФИО подписанта и должность</w:t>
      </w:r>
      <w:r>
        <w:rPr>
          <w:rFonts w:cs="Times New Roman" w:ascii="Times New Roman" w:hAnsi="Times New Roman"/>
          <w:color w:val="FF0000"/>
          <w:sz w:val="22"/>
          <w:szCs w:val="22"/>
        </w:rPr>
        <w:t>]</w:t>
      </w:r>
      <w:r>
        <w:rPr>
          <w:rFonts w:cs="Times New Roman" w:ascii="Times New Roman" w:hAnsi="Times New Roman"/>
          <w:sz w:val="22"/>
          <w:szCs w:val="22"/>
        </w:rPr>
        <w:t xml:space="preserve">, действующего на основании </w:t>
      </w:r>
      <w:r>
        <w:rPr>
          <w:rFonts w:cs="Times New Roman" w:ascii="Times New Roman" w:hAnsi="Times New Roman"/>
          <w:color w:val="FF0000"/>
          <w:sz w:val="22"/>
          <w:szCs w:val="22"/>
        </w:rPr>
        <w:t>[</w:t>
      </w:r>
      <w:r>
        <w:rPr>
          <w:rFonts w:cs="Times New Roman" w:ascii="Times New Roman" w:hAnsi="Times New Roman"/>
          <w:i/>
          <w:iCs/>
          <w:color w:val="FF0000"/>
          <w:sz w:val="22"/>
          <w:szCs w:val="22"/>
        </w:rPr>
        <w:t>основание полномочий</w:t>
      </w:r>
      <w:r>
        <w:rPr>
          <w:rFonts w:cs="Times New Roman" w:ascii="Times New Roman" w:hAnsi="Times New Roman"/>
          <w:color w:val="FF0000"/>
          <w:sz w:val="22"/>
          <w:szCs w:val="22"/>
        </w:rPr>
        <w:t>]</w:t>
      </w:r>
      <w:r>
        <w:rPr>
          <w:rFonts w:cs="Times New Roman" w:ascii="Times New Roman" w:hAnsi="Times New Roman"/>
          <w:sz w:val="22"/>
          <w:szCs w:val="22"/>
        </w:rPr>
        <w:t xml:space="preserve">, с другой стороны, </w:t>
      </w:r>
    </w:p>
    <w:p>
      <w:pPr>
        <w:pStyle w:val="Normal"/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именуемые вместе «</w:t>
      </w:r>
      <w:r>
        <w:rPr>
          <w:rFonts w:cs="Times New Roman" w:ascii="Times New Roman" w:hAnsi="Times New Roman"/>
          <w:b/>
          <w:bCs/>
          <w:sz w:val="22"/>
          <w:szCs w:val="22"/>
        </w:rPr>
        <w:t>Стороны</w:t>
      </w:r>
      <w:r>
        <w:rPr>
          <w:rFonts w:cs="Times New Roman" w:ascii="Times New Roman" w:hAnsi="Times New Roman"/>
          <w:sz w:val="22"/>
          <w:szCs w:val="22"/>
        </w:rPr>
        <w:t xml:space="preserve">», заключили настоящее дополнительное соглашение (далее – </w:t>
      </w:r>
      <w:r>
        <w:rPr>
          <w:rFonts w:cs="Times New Roman" w:ascii="Times New Roman" w:hAnsi="Times New Roman"/>
          <w:b/>
          <w:sz w:val="22"/>
          <w:szCs w:val="22"/>
        </w:rPr>
        <w:t>Соглашение</w:t>
      </w:r>
      <w:r>
        <w:rPr>
          <w:rFonts w:cs="Times New Roman" w:ascii="Times New Roman" w:hAnsi="Times New Roman"/>
          <w:sz w:val="22"/>
          <w:szCs w:val="22"/>
        </w:rPr>
        <w:t xml:space="preserve">) к </w:t>
      </w:r>
      <w:r>
        <w:rPr>
          <w:rFonts w:cs="Times New Roman" w:ascii="Times New Roman" w:hAnsi="Times New Roman"/>
          <w:bCs/>
          <w:sz w:val="22"/>
          <w:szCs w:val="22"/>
        </w:rPr>
        <w:t xml:space="preserve">Договору № </w:t>
      </w:r>
      <w:r>
        <w:rPr>
          <w:rFonts w:cs="Times New Roman" w:ascii="Times New Roman" w:hAnsi="Times New Roman"/>
          <w:color w:val="FF0000"/>
          <w:sz w:val="22"/>
          <w:szCs w:val="22"/>
        </w:rPr>
        <w:t xml:space="preserve">[номер] </w:t>
      </w:r>
      <w:r>
        <w:rPr>
          <w:rFonts w:cs="Times New Roman" w:ascii="Times New Roman" w:hAnsi="Times New Roman"/>
          <w:sz w:val="22"/>
          <w:szCs w:val="22"/>
        </w:rPr>
        <w:t xml:space="preserve">от </w:t>
      </w:r>
      <w:r>
        <w:rPr>
          <w:rFonts w:cs="Times New Roman" w:ascii="Times New Roman" w:hAnsi="Times New Roman"/>
          <w:color w:val="FF0000"/>
          <w:sz w:val="22"/>
          <w:szCs w:val="22"/>
        </w:rPr>
        <w:t>[</w:t>
      </w:r>
      <w:r>
        <w:rPr>
          <w:rFonts w:cs="Times New Roman" w:ascii="Times New Roman" w:hAnsi="Times New Roman"/>
          <w:i/>
          <w:iCs/>
          <w:color w:val="FF0000"/>
          <w:sz w:val="22"/>
          <w:szCs w:val="22"/>
        </w:rPr>
        <w:t>дата, месяц, год</w:t>
      </w:r>
      <w:r>
        <w:rPr>
          <w:rFonts w:cs="Times New Roman" w:ascii="Times New Roman" w:hAnsi="Times New Roman"/>
          <w:color w:val="FF0000"/>
          <w:sz w:val="22"/>
          <w:szCs w:val="22"/>
        </w:rPr>
        <w:t xml:space="preserve">] </w:t>
      </w:r>
      <w:r>
        <w:rPr>
          <w:rFonts w:cs="Times New Roman" w:ascii="Times New Roman" w:hAnsi="Times New Roman"/>
          <w:sz w:val="22"/>
          <w:szCs w:val="22"/>
        </w:rPr>
        <w:t>(«</w:t>
      </w:r>
      <w:r>
        <w:rPr>
          <w:rFonts w:cs="Times New Roman" w:ascii="Times New Roman" w:hAnsi="Times New Roman"/>
          <w:b/>
          <w:sz w:val="22"/>
          <w:szCs w:val="22"/>
        </w:rPr>
        <w:t>Договор</w:t>
      </w:r>
      <w:r>
        <w:rPr>
          <w:rFonts w:cs="Times New Roman" w:ascii="Times New Roman" w:hAnsi="Times New Roman"/>
          <w:sz w:val="22"/>
          <w:szCs w:val="22"/>
        </w:rPr>
        <w:t>») о нижеследующем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spacing w:lineRule="atLeast" w:line="300"/>
        <w:jc w:val="center"/>
        <w:rPr>
          <w:rFonts w:ascii="Times New Roman" w:hAnsi="Times New Roman" w:cs="Times New Roman"/>
          <w:b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Предмет Соглашения</w:t>
      </w:r>
    </w:p>
    <w:p>
      <w:pPr>
        <w:pStyle w:val="ListParagraph"/>
        <w:tabs>
          <w:tab w:val="clear" w:pos="708"/>
          <w:tab w:val="left" w:pos="709" w:leader="none"/>
        </w:tabs>
        <w:spacing w:lineRule="atLeast" w:line="300"/>
        <w:ind w:left="1069" w:hanging="0"/>
        <w:rPr>
          <w:rFonts w:ascii="Times New Roman" w:hAnsi="Times New Roman" w:cs="Times New Roman"/>
          <w:b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ListParagraph"/>
        <w:numPr>
          <w:ilvl w:val="1"/>
          <w:numId w:val="5"/>
        </w:numPr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Заказчик в соответствии с п. 3 ст. 6 Федерального закона от 27.07.2006 года № 152-ФЗ «О персональных данных» поручает, а Исполнитель обязуется осуществлять обработку персональных данных, согласованных Сторонами в тексте настоящего Соглашения. </w:t>
      </w:r>
    </w:p>
    <w:p>
      <w:pPr>
        <w:pStyle w:val="Normal"/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1.2. При обработке персональных данных в соответствии с пунктом 1.1 Соглашения Заказчик выступает в качестве Оператора, а Исполнитель– в качестве Обработчика. Далее по тексту Заказчик именуется «Оператор», а Исполнитель –«Обработчик».</w:t>
      </w:r>
    </w:p>
    <w:p>
      <w:pPr>
        <w:pStyle w:val="ListParagraph"/>
        <w:numPr>
          <w:ilvl w:val="1"/>
          <w:numId w:val="1"/>
        </w:numPr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Целью обработки персональных данных субъектов в рамках данного поручения является выполнение условий Договора.</w:t>
      </w:r>
    </w:p>
    <w:p>
      <w:pPr>
        <w:pStyle w:val="Normal"/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1.4. Обработчик по поручению, а также в интересах Оператора обрабатывает персональные данные, полученные от Оператора в рамках оказания услуг, предусмотренных Договором, посредством совершения с персональными данными следующих действий: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1.4.1. хранение на информационно-технических ресурсах Обработчика информационной системы (ресурса) Оператора, содержащей персональные данные, а также резервных копий такой системы (ресурса) а также иные действия, не противоречащие законодательству Российской Федерации с использованием баз данных, находящихся на территории </w:t>
      </w:r>
      <w:r>
        <w:rPr>
          <w:rFonts w:cs="Times New Roman" w:ascii="Times New Roman" w:hAnsi="Times New Roman"/>
          <w:color w:val="000000" w:themeColor="text1"/>
          <w:sz w:val="22"/>
          <w:szCs w:val="22"/>
        </w:rPr>
        <w:t>Российской Федерации</w:t>
      </w:r>
      <w:r>
        <w:rPr>
          <w:rFonts w:cs="Times New Roman" w:ascii="Times New Roman" w:hAnsi="Times New Roman"/>
          <w:sz w:val="22"/>
          <w:szCs w:val="22"/>
        </w:rPr>
        <w:t>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1.4.2. доступ к информационной системе (ресурсу) Оператора, содержащей персональные данные, а также использование персональных данных, обрабатываемых такой информационной системой (ресурсом), которые осуществляются по заявкам Оператора для устранения инцидентов, влияющих на стабильность и безопасность работы информационной системы (ресурса), а также возможность использования Оператором услуг, оказываемых в рамках Договора, либо при условии предварительного уведомления Оператора для пресечения Киберинцидентов и (или) их последствий, фиксации обстоятельств совершения Киберинцидентов с целью выработки механизмов их предотвращения, а также сохранения экземпляров вредоносного программного обеспечения, если таковое явилось причиной Киберинцидента;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1.4.3. удаление хранимой на информационно-технических ресурсах Обработчика информационной системы (ресурса) Оператора, содержащей персональные данные, а также резервных копий такой системы (ресурса) в связи с полным исполнением сторонами обязательств по Договору либо его расторжением, если Заказчик самостоятельно не удалил такую информационную систему (ресурс) и её резервные копии.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1.5. Целью обработки персональных данных в рамках исполнения условий настоящего Соглашения является обеспечение доступности в сети Интернет информационной системы (ресурса) Оператора, содержащей персональные данные, размещенной на информационно-технических ресурсах Обработчика.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Cs/>
          <w:color w:val="00053E"/>
          <w:spacing w:val="8"/>
          <w:sz w:val="22"/>
          <w:szCs w:val="22"/>
        </w:rPr>
        <w:t>1</w:t>
      </w:r>
      <w:r>
        <w:rPr>
          <w:rFonts w:cs="Times New Roman" w:ascii="Times New Roman" w:hAnsi="Times New Roman"/>
          <w:sz w:val="22"/>
          <w:szCs w:val="22"/>
        </w:rPr>
        <w:t>.6. Термины, используемые в Соглашении, употребляются в значениях, используемых в Федеральном законе № 152-ФЗ от 27.07.2006г. «О защите персональных данных» (далее - Закона о защите персональных данных), иных актах законодательства в области защиты персональных данных.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1.7. Обработчик, за исключением случаев, указанных в пункте 1.4 Соглашения, не имеет доступа к персональным данным, размещаемым Оператором на информационно-технических ресурсах Обработчика, и не предоставляет их третьим лицам без наличия правового основания, предусмотренного законодательством РФ.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1"/>
        </w:numPr>
        <w:spacing w:lineRule="atLeast" w:line="300"/>
        <w:jc w:val="center"/>
        <w:rPr>
          <w:rFonts w:ascii="Times New Roman" w:hAnsi="Times New Roman" w:cs="Times New Roman"/>
          <w:b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Права и обязанности сторон</w:t>
      </w:r>
    </w:p>
    <w:p>
      <w:pPr>
        <w:pStyle w:val="ListParagraph"/>
        <w:spacing w:lineRule="atLeast" w:line="300"/>
        <w:ind w:left="1069" w:hanging="0"/>
        <w:rPr>
          <w:rFonts w:ascii="Times New Roman" w:hAnsi="Times New Roman" w:cs="Times New Roman"/>
          <w:b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2.1. Оператор имеет право: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2.1.1. давать указания Обработчику по обработке персональных данных в рамках цели обработки, указанной в пункте 1.2 Соглашения;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2.1.2. запрашивать у Обработчика информацию, касающуюся обработки персональных данных в рамках Договора и Соглашения, в том числе информацию, подтверждающую принятие Обработчиком мер по обеспечению защиты персональных данных, предусмотренных пунктом 3.2 Соглашения. Соответствующая информация подлежит представлению в течение 3 (трех) рабочих дней со дня поступления запроса;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2.1.3. осуществлять иные права, предусмотренные законодательством Российской Федерации.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2.2. Оператор обязуется: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2.2.1. своевременно предоставлять Обработчику информацию, необходимую для реализации настоящего Соглашения;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2.2.2. обеспечить в период действия Договора наличие согласий субъектов персональных данных на обработку персональных данных (в том числе на передачу их Обработчику) или иного правового основания для обработки Обработчиком передаваемых персональных данных. В случае отсутствия (отпадения) правовых оснований для обработки персональных данных оперативно информировать об этом Обработчика принять меры по прекращению обработки персональных данных соответствующих субъектов;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2.2.3. самостоятельно определять категории персональных данных, обрабатываемых в принадлежащих ему информационных системах (ресурсах), а также классифицировать такие информационные системы (ресурсы);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2.2.4. в случае возникновения обстоятельств, препятствующих исполнению принятых на себя обязательств по Соглашению, незамедлительно сообщить об этом Обработчику;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2.2.5. осуществлять иные обязанности, предусмотренные законодательством Российской Федерации.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2.3. Обработчик имеет право: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2.3.1. запрашивать у Оператора информацию, необходимую для исполнения Соглашения;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2.3.2. при поступлении к нему заявлений субъектов персональных данных относительно обработки персональных данных, размещаемых Оператором на информационно-технических ресурсах Обработчика, уведомлять заявителей о необходимости обращаться с соответствующими заявлениями к Оператору;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2.3.3. Для достижения целей настоящего соглашения, если иное не предусмотрено Договором, Обработчик вправе без согласования с Оператором за свой счет привлекать к обработке в порядке перепоручения третьи лица, с которыми у Обработчика заключены соответствующие договоры, при условии обеспечения указанными третьими лицами конфиденциальности и безопасности персональных данных при обработке, и, если такие лица находятся в странах, обеспечивающих адекватный уровень защиты персональных данных. Договоры с третьими лицами должны содержать объем обязанностей третьих лиц не меньше, чем тот, который установлен настоящим Дополнительным соглашением. Обработчик обязуется по запросу Оператора предоставить сведения о подобных третьих лицах.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2.3.4. осуществлять иные права, предусмотренные законодательством Российской Федерации.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2.4. Обработчик обязуется: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2.4.1. осуществлять обработку персональных данных в порядке, предусмотренном Соглашением и законодательством Российской Федерации, не использовать персональные данные, обрабатываемые в рамках Договора и Соглашения, для своих собственных целей;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2.4.2. выполнять поручения Оператора об обработке персональных данных в рамках цели обработки, указанной в пункте 1.2 Соглашения;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2.4.3. реализовать предусмотренные в пункте 3.2 Соглашения меры по обеспечению защиты персональных данных;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2.4.4. предоставлять Оператору информацию, подтверждающую принятие Обработчиком мер по обеспечению защиты персональных данных, предусмотренных пунктом 3.2 Соглашения. Соответствующая информация подлежит представлению в течение 3 (трех) рабочих дней со дня поступления запроса;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2.4.5. информировать Оператора о нарушениях систем защиты персональных данных в порядке, предусмотренном разделом 6 Соглашения;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2.4.6. оказывать разумное содействие Оператору при осуществлении субъектами персональных данных прав, предусмотренных Законом о защите персональных данных;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2.4.7. прекратить обработку и удалить персональные данные в порядке, предусмотренном разделом 7 Соглашения;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2.4.8. осуществлять иные обязанности, предусмотренные законодательством Российской Федерации.</w:t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center"/>
        <w:rPr>
          <w:rFonts w:eastAsia="SimSun"/>
          <w:b/>
          <w:b/>
          <w:sz w:val="22"/>
          <w:szCs w:val="22"/>
          <w:lang w:eastAsia="hi-IN" w:bidi="hi-IN"/>
        </w:rPr>
      </w:pPr>
      <w:r>
        <w:rPr>
          <w:rFonts w:eastAsia="SimSun"/>
          <w:b/>
          <w:sz w:val="22"/>
          <w:szCs w:val="22"/>
          <w:lang w:eastAsia="hi-IN" w:bidi="hi-IN"/>
        </w:rPr>
        <w:t>3. Меры по защите персональных данных, принимаемые</w:t>
        <w:br/>
        <w:t>Обработчиком</w:t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sz w:val="22"/>
          <w:szCs w:val="22"/>
          <w:lang w:eastAsia="hi-IN" w:bidi="hi-IN"/>
        </w:rPr>
      </w:pPr>
      <w:r>
        <w:rPr>
          <w:rFonts w:eastAsia="SimSun"/>
          <w:sz w:val="22"/>
          <w:szCs w:val="22"/>
          <w:lang w:eastAsia="hi-IN" w:bidi="hi-IN"/>
        </w:rPr>
        <w:t xml:space="preserve">3.1. Обработчик принимает правовые, организационные и технические меры по обеспечению защиты </w:t>
      </w:r>
      <w:bookmarkStart w:id="0" w:name="_GoBack"/>
      <w:r>
        <w:rPr>
          <w:rFonts w:eastAsia="SimSun"/>
          <w:sz w:val="22"/>
          <w:szCs w:val="22"/>
          <w:lang w:eastAsia="hi-IN" w:bidi="hi-IN"/>
        </w:rPr>
        <w:t>персональных данных от несанкционированного или случайного доступа к ним, а также от неправомерных действий в отношении персональных данных.</w:t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sz w:val="22"/>
          <w:szCs w:val="22"/>
          <w:lang w:eastAsia="hi-IN" w:bidi="hi-IN"/>
        </w:rPr>
      </w:pPr>
      <w:r>
        <w:rPr>
          <w:rFonts w:eastAsia="SimSun"/>
          <w:sz w:val="22"/>
          <w:szCs w:val="22"/>
          <w:lang w:eastAsia="hi-IN" w:bidi="hi-IN"/>
        </w:rPr>
        <w:t>3.2. Для защиты персональных данных Обработчик в обязательном порядке принимает следующие меры:</w:t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sz w:val="22"/>
          <w:szCs w:val="22"/>
          <w:lang w:eastAsia="hi-IN" w:bidi="hi-IN"/>
        </w:rPr>
      </w:pPr>
      <w:r>
        <w:rPr>
          <w:rFonts w:eastAsia="SimSun"/>
          <w:sz w:val="22"/>
          <w:szCs w:val="22"/>
          <w:lang w:eastAsia="hi-IN" w:bidi="hi-IN"/>
        </w:rPr>
        <w:t>3.2.1. назначение лица, ответственного за осуществление внутреннего контроля за обработкой персональных данных;</w:t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sz w:val="22"/>
          <w:szCs w:val="22"/>
          <w:lang w:eastAsia="hi-IN" w:bidi="hi-IN"/>
        </w:rPr>
      </w:pPr>
      <w:r>
        <w:rPr>
          <w:rFonts w:eastAsia="SimSun"/>
          <w:sz w:val="22"/>
          <w:szCs w:val="22"/>
          <w:lang w:eastAsia="hi-IN" w:bidi="hi-IN"/>
        </w:rPr>
        <w:t>3.2.2. разработка и утверждение документов, определяющих Политику Обработчика в отношении обработки персональных данных, обеспечение неограниченного доступа, в том числе с использованием глобальной компьютерной сети Интернет, к таким документам;</w:t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sz w:val="22"/>
          <w:szCs w:val="22"/>
          <w:lang w:eastAsia="hi-IN" w:bidi="hi-IN"/>
        </w:rPr>
      </w:pPr>
      <w:r>
        <w:rPr>
          <w:rFonts w:eastAsia="SimSun"/>
          <w:sz w:val="22"/>
          <w:szCs w:val="22"/>
          <w:lang w:eastAsia="hi-IN" w:bidi="hi-IN"/>
        </w:rPr>
        <w:t>3.2.3. разработка и утверждение порядка доступа к персональным данным, в том числе обрабатываемым в информационном ресурсе (системе) Обработчика;</w:t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sz w:val="22"/>
          <w:szCs w:val="22"/>
          <w:lang w:eastAsia="hi-IN" w:bidi="hi-IN"/>
        </w:rPr>
      </w:pPr>
      <w:r>
        <w:rPr>
          <w:rFonts w:eastAsia="SimSun"/>
          <w:sz w:val="22"/>
          <w:szCs w:val="22"/>
          <w:lang w:eastAsia="hi-IN" w:bidi="hi-IN"/>
        </w:rPr>
        <w:t>3.2.4. разработка реестра обработки персональных данных с указанием срока хранения обрабатываемых персональных данных;</w:t>
      </w:r>
      <w:bookmarkEnd w:id="0"/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sz w:val="22"/>
          <w:szCs w:val="22"/>
          <w:lang w:eastAsia="hi-IN" w:bidi="hi-IN"/>
        </w:rPr>
      </w:pPr>
      <w:r>
        <w:rPr>
          <w:rFonts w:eastAsia="SimSun"/>
          <w:sz w:val="22"/>
          <w:szCs w:val="22"/>
          <w:lang w:eastAsia="hi-IN" w:bidi="hi-IN"/>
        </w:rPr>
        <w:t>3.2.5. ознакомление работников Обработчика и иных лиц, непосредственно осуществляющих обработку персональных данных под контролем Обработчика, с положениями законодательства о персональных данных, в том числе с требованиями по защите персональных данных, документами, определяющими политику Обработчика в отношении обработки персональных данных;</w:t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sz w:val="22"/>
          <w:szCs w:val="22"/>
          <w:lang w:eastAsia="hi-IN" w:bidi="hi-IN"/>
        </w:rPr>
      </w:pPr>
      <w:r>
        <w:rPr>
          <w:rFonts w:eastAsia="SimSun"/>
          <w:sz w:val="22"/>
          <w:szCs w:val="22"/>
          <w:lang w:eastAsia="hi-IN" w:bidi="hi-IN"/>
        </w:rPr>
        <w:t>3.2.6. обучение работников Обработчика и иных лиц, непосредственно осуществляющих обработку персональных данных под контролем Обработчика в порядке, установленном законодательством Российской Федерации;</w:t>
      </w:r>
    </w:p>
    <w:p>
      <w:pPr>
        <w:pStyle w:val="NormalWeb"/>
        <w:spacing w:lineRule="atLeast" w:line="288" w:beforeAutospacing="0" w:before="0" w:afterAutospacing="0" w:after="0"/>
        <w:jc w:val="both"/>
        <w:rPr>
          <w:rFonts w:eastAsia="SimSun"/>
          <w:sz w:val="22"/>
          <w:szCs w:val="22"/>
          <w:lang w:eastAsia="hi-IN" w:bidi="hi-IN"/>
        </w:rPr>
      </w:pPr>
      <w:r>
        <w:rPr>
          <w:rFonts w:eastAsia="SimSun"/>
          <w:sz w:val="22"/>
          <w:szCs w:val="22"/>
          <w:lang w:eastAsia="hi-IN" w:bidi="hi-IN"/>
        </w:rPr>
        <w:t>3.2.7. осуществление технической и криптографической защиты персональных данных в порядке, установленном Постановлением Правительства РФ от 01.11.2012 N 1119"Об утверждении требований к защите персональных данных при их обработке в информационных системах персональных данных", в соответствии с классификацией информационных ресурсов (систем), содержащих персональные данные;</w:t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sz w:val="22"/>
          <w:szCs w:val="22"/>
          <w:lang w:eastAsia="hi-IN" w:bidi="hi-IN"/>
        </w:rPr>
      </w:pPr>
      <w:r>
        <w:rPr>
          <w:rFonts w:eastAsia="SimSun"/>
          <w:sz w:val="22"/>
          <w:szCs w:val="22"/>
          <w:lang w:eastAsia="hi-IN" w:bidi="hi-IN"/>
        </w:rPr>
        <w:t>3.2.8. установление и поддержание в актуальном состоянии перечня информационных систем (ресурсов), содержащих персональные данные, владельцем которых является Уполномоченное лицо, с указанием категорий персональных данных, подлежащих включению в такие системы (ресурсы);</w:t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sz w:val="22"/>
          <w:szCs w:val="22"/>
          <w:lang w:eastAsia="hi-IN" w:bidi="hi-IN"/>
        </w:rPr>
      </w:pPr>
      <w:r>
        <w:rPr>
          <w:rFonts w:eastAsia="SimSun"/>
          <w:sz w:val="22"/>
          <w:szCs w:val="22"/>
          <w:lang w:eastAsia="hi-IN" w:bidi="hi-IN"/>
        </w:rPr>
        <w:t>3.2.9. установление и поддержание в актуальном состоянии перечня уполномоченных лиц, если обработка персональных данных осуществляется уполномоченным</w:t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bCs/>
          <w:sz w:val="22"/>
          <w:szCs w:val="22"/>
          <w:lang w:eastAsia="ja-JP"/>
        </w:rPr>
      </w:pPr>
      <w:r>
        <w:rPr>
          <w:bCs/>
          <w:sz w:val="22"/>
          <w:szCs w:val="22"/>
          <w:lang w:eastAsia="ja-JP"/>
        </w:rPr>
        <w:t xml:space="preserve">3.2.10. Перечень указанных мер должен быть изменен, в случае изменения применимого законодательства РФ в сфере </w:t>
      </w:r>
      <w:r>
        <w:rPr>
          <w:sz w:val="22"/>
          <w:szCs w:val="22"/>
        </w:rPr>
        <w:t>персональных данных</w:t>
      </w:r>
      <w:r>
        <w:rPr>
          <w:bCs/>
          <w:sz w:val="22"/>
          <w:szCs w:val="22"/>
          <w:lang w:eastAsia="ja-JP"/>
        </w:rPr>
        <w:t>. Такие изменения должны быть внедрены Обработчиком в течение разумного срока после наступления указанных изменений или по требованию Оператора. Любые меры обеспечения безопасности принимаются Обработчиком за свой счет, никакие расходы не возмещаются Оператором.</w:t>
      </w:r>
    </w:p>
    <w:p>
      <w:pPr>
        <w:pStyle w:val="ListParagraph"/>
        <w:numPr>
          <w:ilvl w:val="2"/>
          <w:numId w:val="4"/>
        </w:numPr>
        <w:spacing w:lineRule="atLeast" w:line="300"/>
        <w:ind w:left="0" w:hanging="0"/>
        <w:jc w:val="both"/>
        <w:rPr>
          <w:rFonts w:ascii="Times New Roman" w:hAnsi="Times New Roman" w:eastAsia="Times New Roman" w:cs="Times New Roman"/>
          <w:bCs/>
          <w:sz w:val="22"/>
          <w:szCs w:val="22"/>
          <w:lang w:eastAsia="ja-JP" w:bidi="ar-SA"/>
        </w:rPr>
      </w:pPr>
      <w:r>
        <w:rPr>
          <w:rFonts w:eastAsia="Times New Roman" w:cs="Times New Roman" w:ascii="Times New Roman" w:hAnsi="Times New Roman"/>
          <w:bCs/>
          <w:sz w:val="22"/>
          <w:szCs w:val="22"/>
          <w:lang w:eastAsia="ja-JP" w:bidi="ar-SA"/>
        </w:rPr>
        <w:t>Для достижения целей обработки персональных данных, если иное не предусмотрено Договором, Обработчик вправе без  согласования с Оператором за свой счет привлекать к обработке в порядке перепоручения третьи лица, с которыми у Обработчика заключены соответствующие договоры, при условии обеспечения указанными третьими лицами конфиденциальности и безопасности персональных данных при обработке, и если такие лица находятся в странах, обеспечивающих адекватный уровень защиты персональных данных. Договоры с третьими лицами должны содержать объем обязанностей третьих лиц не меньше, чем тот, который установлен настоящим Дополнительным соглашением. Обработчик обязуется по запросу Оператора предоставить сведения о подобных третьих лицах, а также сведения о том, доступ к каким персональных данных, каких субъектов и в каких целях был предоставлен третьим лицам.</w:t>
      </w:r>
    </w:p>
    <w:p>
      <w:pPr>
        <w:pStyle w:val="ListParagraph"/>
        <w:spacing w:lineRule="atLeast" w:line="300" w:before="0" w:after="0"/>
        <w:ind w:left="0" w:hanging="0"/>
        <w:contextualSpacing w:val="false"/>
        <w:jc w:val="both"/>
        <w:rPr>
          <w:rFonts w:ascii="Times New Roman" w:hAnsi="Times New Roman" w:eastAsia="Times New Roman" w:cs="Times New Roman"/>
          <w:bCs/>
          <w:sz w:val="22"/>
          <w:szCs w:val="22"/>
          <w:lang w:eastAsia="ja-JP" w:bidi="ar-SA"/>
        </w:rPr>
      </w:pPr>
      <w:r>
        <w:rPr>
          <w:rFonts w:eastAsia="Times New Roman" w:cs="Times New Roman" w:ascii="Times New Roman" w:hAnsi="Times New Roman"/>
          <w:bCs/>
          <w:sz w:val="22"/>
          <w:szCs w:val="22"/>
          <w:lang w:eastAsia="ja-JP" w:bidi="ar-SA"/>
        </w:rPr>
      </w:r>
    </w:p>
    <w:p>
      <w:pPr>
        <w:pStyle w:val="ListParagraph"/>
        <w:numPr>
          <w:ilvl w:val="0"/>
          <w:numId w:val="2"/>
        </w:numPr>
        <w:spacing w:lineRule="atLeast" w:line="300" w:before="0" w:after="0"/>
        <w:contextualSpacing w:val="false"/>
        <w:jc w:val="center"/>
        <w:rPr>
          <w:rFonts w:ascii="Times New Roman" w:hAnsi="Times New Roman" w:eastAsia="Times New Roman" w:cs="Times New Roman"/>
          <w:b/>
          <w:b/>
          <w:bCs/>
          <w:sz w:val="22"/>
          <w:szCs w:val="22"/>
          <w:lang w:eastAsia="ja-JP" w:bidi="ar-SA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Ответственность Сторон</w:t>
      </w:r>
    </w:p>
    <w:p>
      <w:pPr>
        <w:pStyle w:val="ListParagraph"/>
        <w:spacing w:lineRule="atLeast" w:line="300" w:before="0" w:after="0"/>
        <w:ind w:left="576" w:hanging="0"/>
        <w:contextualSpacing w:val="false"/>
        <w:rPr>
          <w:rFonts w:ascii="Times New Roman" w:hAnsi="Times New Roman" w:eastAsia="Times New Roman" w:cs="Times New Roman"/>
          <w:b/>
          <w:b/>
          <w:bCs/>
          <w:sz w:val="22"/>
          <w:szCs w:val="22"/>
          <w:lang w:eastAsia="ja-JP" w:bidi="ar-SA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  <w:lang w:eastAsia="ja-JP" w:bidi="ar-SA"/>
        </w:rPr>
      </w:r>
    </w:p>
    <w:p>
      <w:pPr>
        <w:pStyle w:val="ListParagraph"/>
        <w:numPr>
          <w:ilvl w:val="1"/>
          <w:numId w:val="2"/>
        </w:numPr>
        <w:spacing w:lineRule="atLeast" w:line="300"/>
        <w:ind w:left="0" w:hanging="0"/>
        <w:jc w:val="both"/>
        <w:rPr>
          <w:rFonts w:ascii="Times New Roman" w:hAnsi="Times New Roman" w:eastAsia="Times New Roman" w:cs="Times New Roman"/>
          <w:bCs/>
          <w:sz w:val="22"/>
          <w:szCs w:val="22"/>
          <w:lang w:eastAsia="ja-JP" w:bidi="ar-SA"/>
        </w:rPr>
      </w:pPr>
      <w:r>
        <w:rPr>
          <w:rFonts w:eastAsia="Times New Roman" w:cs="Times New Roman" w:ascii="Times New Roman" w:hAnsi="Times New Roman"/>
          <w:bCs/>
          <w:sz w:val="22"/>
          <w:szCs w:val="22"/>
          <w:lang w:eastAsia="ja-JP" w:bidi="ar-SA"/>
        </w:rPr>
        <w:t>Оператор несет полную ответственность перед субъектом персональных данных за действия, осуществляемые Обработчиком при обработке персональных данных субъекта.</w:t>
      </w:r>
    </w:p>
    <w:p>
      <w:pPr>
        <w:pStyle w:val="ListParagraph"/>
        <w:numPr>
          <w:ilvl w:val="1"/>
          <w:numId w:val="2"/>
        </w:numPr>
        <w:spacing w:lineRule="atLeast" w:line="300"/>
        <w:ind w:left="0" w:hanging="0"/>
        <w:jc w:val="both"/>
        <w:rPr>
          <w:rFonts w:ascii="Times New Roman" w:hAnsi="Times New Roman" w:eastAsia="Times New Roman" w:cs="Times New Roman"/>
          <w:bCs/>
          <w:sz w:val="22"/>
          <w:szCs w:val="22"/>
          <w:lang w:eastAsia="ja-JP" w:bidi="ar-SA"/>
        </w:rPr>
      </w:pPr>
      <w:r>
        <w:rPr>
          <w:rFonts w:eastAsia="Times New Roman" w:cs="Times New Roman" w:ascii="Times New Roman" w:hAnsi="Times New Roman"/>
          <w:bCs/>
          <w:sz w:val="22"/>
          <w:szCs w:val="22"/>
          <w:lang w:eastAsia="ja-JP" w:bidi="ar-SA"/>
        </w:rPr>
        <w:t>Обработчик несет полную ответственность перед Оператором за действия, производимые при обработке персональных данных субъектов, осуществляемой по поручению Оператора.</w:t>
      </w:r>
    </w:p>
    <w:p>
      <w:pPr>
        <w:pStyle w:val="ListParagraph"/>
        <w:numPr>
          <w:ilvl w:val="1"/>
          <w:numId w:val="2"/>
        </w:numPr>
        <w:spacing w:lineRule="atLeast" w:line="300"/>
        <w:ind w:left="0" w:hanging="0"/>
        <w:jc w:val="both"/>
        <w:rPr>
          <w:rFonts w:ascii="Times New Roman" w:hAnsi="Times New Roman" w:eastAsia="Times New Roman" w:cs="Times New Roman"/>
          <w:bCs/>
          <w:sz w:val="22"/>
          <w:szCs w:val="22"/>
          <w:lang w:eastAsia="ja-JP" w:bidi="ar-SA"/>
        </w:rPr>
      </w:pPr>
      <w:r>
        <w:rPr>
          <w:rFonts w:eastAsia="Times New Roman" w:cs="Times New Roman" w:ascii="Times New Roman" w:hAnsi="Times New Roman"/>
          <w:bCs/>
          <w:sz w:val="22"/>
          <w:szCs w:val="22"/>
          <w:lang w:eastAsia="ja-JP" w:bidi="ar-SA"/>
        </w:rPr>
        <w:t>Обработчик несет ответственность за действия (бездействие) своих сотрудников, и иных третьих лиц, получивших доступ к обрабатываемым персональным данным, повлекшие разглашение персональных данных.</w:t>
      </w:r>
    </w:p>
    <w:p>
      <w:pPr>
        <w:pStyle w:val="Normal"/>
        <w:spacing w:lineRule="atLeast" w:line="300"/>
        <w:jc w:val="both"/>
        <w:rPr>
          <w:rFonts w:ascii="Times New Roman" w:hAnsi="Times New Roman" w:eastAsia="Times New Roman" w:cs="Times New Roman"/>
          <w:bCs/>
          <w:sz w:val="22"/>
          <w:szCs w:val="22"/>
          <w:lang w:eastAsia="ja-JP" w:bidi="ar-SA"/>
        </w:rPr>
      </w:pPr>
      <w:r>
        <w:rPr>
          <w:rFonts w:eastAsia="Times New Roman" w:cs="Times New Roman" w:ascii="Times New Roman" w:hAnsi="Times New Roman"/>
          <w:bCs/>
          <w:sz w:val="22"/>
          <w:szCs w:val="22"/>
          <w:lang w:eastAsia="ja-JP" w:bidi="ar-SA"/>
        </w:rPr>
        <w:t xml:space="preserve">4.3.1. </w:t>
      </w:r>
      <w:bookmarkStart w:id="1" w:name="_Hlk135853513"/>
      <w:r>
        <w:rPr>
          <w:rFonts w:eastAsia="Times New Roman" w:cs="Times New Roman" w:ascii="Times New Roman" w:hAnsi="Times New Roman"/>
          <w:bCs/>
          <w:sz w:val="22"/>
          <w:szCs w:val="22"/>
          <w:lang w:eastAsia="ja-JP" w:bidi="ar-SA"/>
        </w:rPr>
        <w:t xml:space="preserve">В случае нарушения Обработчиком требований о локализации, если Оператор в связи с такими фактами понес какие-либо негативные последствия (любые убытки, дискредитация системы информационной безопасности Оператора, повреждение/ уничтожение оборудования, информационных данных, включая штрафы, наложенные на Оператора государственными органами и/или судом, выплаты, осуществленные Оператором в пользу третьих лиц, расходы, понесенные Оператором  в связи с привлечением его к участию в рассмотрении гражданского, административного и/или уголовного дела и т.п.), то Обработчик обязуется возместить Оператору  понесенный им документально подтвержденный реальный ущерб в связи с таким нарушением Обработчика.    </w:t>
      </w:r>
      <w:bookmarkEnd w:id="1"/>
    </w:p>
    <w:p>
      <w:pPr>
        <w:pStyle w:val="ListParagraph"/>
        <w:numPr>
          <w:ilvl w:val="1"/>
          <w:numId w:val="2"/>
        </w:numPr>
        <w:spacing w:lineRule="atLeast" w:line="300"/>
        <w:ind w:left="0" w:hanging="0"/>
        <w:jc w:val="both"/>
        <w:rPr>
          <w:rFonts w:ascii="Times New Roman" w:hAnsi="Times New Roman" w:eastAsia="Times New Roman" w:cs="Times New Roman"/>
          <w:bCs/>
          <w:sz w:val="22"/>
          <w:szCs w:val="22"/>
          <w:lang w:eastAsia="ja-JP" w:bidi="ar-SA"/>
        </w:rPr>
      </w:pPr>
      <w:r>
        <w:rPr>
          <w:rFonts w:eastAsia="Times New Roman" w:cs="Times New Roman" w:ascii="Times New Roman" w:hAnsi="Times New Roman"/>
          <w:bCs/>
          <w:sz w:val="22"/>
          <w:szCs w:val="22"/>
          <w:lang w:eastAsia="ja-JP" w:bidi="ar-SA"/>
        </w:rPr>
        <w:t>Стороны несут ответственность за несоблюдение условий Договора, а также за разглашение или незаконное использование персональных данных в соответствии с действующим законодательством РФ.</w:t>
      </w:r>
    </w:p>
    <w:p>
      <w:pPr>
        <w:pStyle w:val="Normal"/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lineRule="atLeast" w:line="300"/>
        <w:jc w:val="center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Конфиденциальность </w:t>
      </w:r>
    </w:p>
    <w:p>
      <w:pPr>
        <w:pStyle w:val="ListParagraph"/>
        <w:spacing w:lineRule="atLeast" w:line="300"/>
        <w:ind w:left="576" w:hanging="0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5.1. Обработчик при выполнении поручения обязуется соблюдать конфиденциальность персональных данных и обеспечивать безопасность персональных данных.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 xml:space="preserve">5.2. Стороны обязуются соблюдать режим конфиденциальности в отношении данных, ставших им известными при исполнении настоящего Договора. 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 xml:space="preserve">5.3. Режим конфиденциальности в отношении настоящего Договора действует в течение 3 (трех) лет с момента его прекращения. </w:t>
      </w:r>
    </w:p>
    <w:p>
      <w:pPr>
        <w:pStyle w:val="Normal"/>
        <w:spacing w:lineRule="atLeast" w:line="300"/>
        <w:jc w:val="center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Normal"/>
        <w:shd w:val="clear" w:color="auto" w:fill="FFFFFF"/>
        <w:spacing w:lineRule="atLeast" w:line="300" w:before="360" w:after="0"/>
        <w:jc w:val="center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color w:val="00053E"/>
          <w:spacing w:val="8"/>
          <w:sz w:val="22"/>
          <w:szCs w:val="22"/>
          <w:lang w:eastAsia="ru-RU" w:bidi="ar-SA"/>
        </w:rPr>
        <w:t xml:space="preserve">6. </w:t>
      </w:r>
      <w:r>
        <w:rPr>
          <w:rFonts w:cs="Times New Roman" w:ascii="Times New Roman" w:hAnsi="Times New Roman"/>
          <w:b/>
          <w:bCs/>
          <w:sz w:val="22"/>
          <w:szCs w:val="22"/>
        </w:rPr>
        <w:t>Уведомление о нарушении системы защиты персональных данных</w:t>
      </w:r>
    </w:p>
    <w:p>
      <w:pPr>
        <w:pStyle w:val="Normal"/>
        <w:shd w:val="clear" w:color="auto" w:fill="FFFFFF"/>
        <w:spacing w:lineRule="atLeast" w:line="300" w:before="360" w:after="0"/>
        <w:jc w:val="center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Normal"/>
        <w:spacing w:lineRule="atLeast" w:line="300" w:before="0" w:after="16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6.1. При обнаружении нарушения систем защиты персональных данных, Обработчик должно сообщить об этом Оператору в разумные сроки, исключающие неоправданную задержку.</w:t>
      </w:r>
      <w:r>
        <w:rPr>
          <w:rFonts w:cs="Times New Roman" w:ascii="Times New Roman" w:hAnsi="Times New Roman"/>
          <w:sz w:val="22"/>
          <w:szCs w:val="22"/>
        </w:rPr>
        <w:t xml:space="preserve">  В случае установления факта неправомерной или случайной передачи (предоставления, распространения, доступа</w:t>
      </w:r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) персональных данных, повлекшей нарушение прав субъектов персональных данных, Обработчик сообщает Оператору по адресу электронной почты </w:t>
      </w:r>
      <w:r>
        <w:rPr>
          <w:rFonts w:cs="Times New Roman" w:ascii="Times New Roman" w:hAnsi="Times New Roman"/>
          <w:color w:val="FF0000"/>
          <w:sz w:val="22"/>
          <w:szCs w:val="22"/>
        </w:rPr>
        <w:t>________</w:t>
      </w:r>
      <w:r>
        <w:rPr>
          <w:rFonts w:cs="Times New Roman" w:ascii="Times New Roman" w:hAnsi="Times New Roman"/>
          <w:color w:val="000000" w:themeColor="text1"/>
          <w:sz w:val="22"/>
          <w:szCs w:val="22"/>
        </w:rPr>
        <w:t>в течение 12 (двенадцати) часов с момента выявления информацию:</w:t>
      </w:r>
    </w:p>
    <w:p>
      <w:pPr>
        <w:pStyle w:val="ListParagraph"/>
        <w:numPr>
          <w:ilvl w:val="0"/>
          <w:numId w:val="3"/>
        </w:numPr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о </w:t>
      </w:r>
      <w:r>
        <w:rPr>
          <w:rFonts w:cs="Times New Roman" w:ascii="Times New Roman" w:hAnsi="Times New Roman"/>
          <w:sz w:val="22"/>
          <w:szCs w:val="22"/>
        </w:rPr>
        <w:t>произошедшем инциденте;</w:t>
      </w:r>
    </w:p>
    <w:p>
      <w:pPr>
        <w:pStyle w:val="ListParagraph"/>
        <w:numPr>
          <w:ilvl w:val="0"/>
          <w:numId w:val="3"/>
        </w:numPr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о предполагаемых причинах, повлекших нарушение прав субъектов ПД; </w:t>
      </w:r>
    </w:p>
    <w:p>
      <w:pPr>
        <w:pStyle w:val="ListParagraph"/>
        <w:numPr>
          <w:ilvl w:val="0"/>
          <w:numId w:val="3"/>
        </w:numPr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о предполагаемом вреде, нанесенном правам субъектов ПД;</w:t>
      </w:r>
    </w:p>
    <w:p>
      <w:pPr>
        <w:pStyle w:val="ListParagraph"/>
        <w:numPr>
          <w:ilvl w:val="0"/>
          <w:numId w:val="3"/>
        </w:numPr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о принятых мерах по устранению последствий соответствующего инцидента,</w:t>
      </w:r>
    </w:p>
    <w:p>
      <w:pPr>
        <w:pStyle w:val="ListParagraph"/>
        <w:numPr>
          <w:ilvl w:val="0"/>
          <w:numId w:val="3"/>
        </w:numPr>
        <w:spacing w:lineRule="atLeast" w:line="30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о контактном лице, уполномоченном Исполнителем на взаимодействие с Оператором по вопросам, связанным с выявленным инцидентом.</w:t>
      </w:r>
    </w:p>
    <w:p>
      <w:pPr>
        <w:pStyle w:val="ListParagraph"/>
        <w:spacing w:lineRule="atLeast" w:line="300" w:before="0" w:after="0"/>
        <w:ind w:left="567" w:hanging="0"/>
        <w:contextualSpacing w:val="fals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atLeast" w:line="300"/>
        <w:ind w:left="284" w:hanging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В течение 36 (тридцати шести) часов Обработчик сообщает о результатах внутреннего расследования выявленного инцидента, а также предоставляет сведения о лицах, действия которых стали причиной выявленного</w:t>
      </w:r>
      <w:r>
        <w:rPr>
          <w:rFonts w:cs="Times New Roman" w:ascii="Times New Roman" w:hAnsi="Times New Roman"/>
          <w:color w:val="000000" w:themeColor="text1"/>
          <w:sz w:val="22"/>
          <w:szCs w:val="22"/>
        </w:rPr>
        <w:t xml:space="preserve"> инцидента (при наличии).</w:t>
      </w:r>
    </w:p>
    <w:p>
      <w:pPr>
        <w:pStyle w:val="Normal"/>
        <w:shd w:val="clear" w:color="auto" w:fill="FFFFFF"/>
        <w:spacing w:lineRule="atLeast" w:line="300" w:before="360" w:after="0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6.2. Обработчик обязуется оказывать разумное содействие Оператору в подготовке уведомления Роскомнадзор в соответствии с п. 3.1. ст. 21 Закона о защите персональных данных.</w:t>
      </w:r>
    </w:p>
    <w:p>
      <w:pPr>
        <w:pStyle w:val="Normal"/>
        <w:shd w:val="clear" w:color="auto" w:fill="FFFFFF"/>
        <w:spacing w:lineRule="atLeast" w:line="300" w:before="360" w:after="0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6.3. В любом случае обязанность по уведомлению Роскомнадзора об инциденте безопасности персональных данных несет Оператор.</w:t>
      </w:r>
    </w:p>
    <w:p>
      <w:pPr>
        <w:pStyle w:val="Normal"/>
        <w:shd w:val="clear" w:color="auto" w:fill="FFFFFF"/>
        <w:spacing w:lineRule="atLeast" w:line="300" w:before="360" w:after="0"/>
        <w:jc w:val="center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7. Прекращение обработки и удаление персональных данных</w:t>
      </w:r>
    </w:p>
    <w:p>
      <w:pPr>
        <w:pStyle w:val="Normal"/>
        <w:shd w:val="clear" w:color="auto" w:fill="FFFFFF"/>
        <w:spacing w:lineRule="atLeast" w:line="300" w:before="360" w:after="0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7.1. Обработчик прекращает обработку персональных данных и удаляет хранимые в рамках исполнения условий Договора информационные системы (ресурсы) Оператора (их резервные копии), содержащие персональные данные, в случае полного исполнения сторонами обязательств по Договору либо его расторжения, если соответствующие информационные системы (ресурсы) и её резервные копии не удалены самим Оператором.</w:t>
      </w:r>
    </w:p>
    <w:p>
      <w:pPr>
        <w:pStyle w:val="Normal"/>
        <w:shd w:val="clear" w:color="auto" w:fill="FFFFFF"/>
        <w:spacing w:lineRule="atLeast" w:line="300" w:before="360" w:after="0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7.2. Прекращение обработки и удаление персональных данных, согласно пункту 7.1 Соглашения, осуществляется в течение 3 (трех) рабочих дней по истечении периода для восстановления информационной системы (ресурса) продолжительностью до 60 (шестидесяти) календарных дней.</w:t>
      </w:r>
    </w:p>
    <w:p>
      <w:pPr>
        <w:pStyle w:val="Normal"/>
        <w:shd w:val="clear" w:color="auto" w:fill="FFFFFF"/>
        <w:spacing w:lineRule="atLeast" w:line="300" w:before="360" w:after="0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7.3. Обработчик по запросу Оператора предоставляет ему акты удаления, подтверждающие факт удаления персональных данных.</w:t>
      </w:r>
    </w:p>
    <w:p>
      <w:pPr>
        <w:pStyle w:val="Normal"/>
        <w:spacing w:lineRule="atLeast" w:line="300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spacing w:lineRule="atLeast" w:line="300"/>
        <w:jc w:val="both"/>
        <w:rPr>
          <w:rFonts w:ascii="Times New Roman" w:hAnsi="Times New Roman" w:cs="Times New Roman"/>
          <w:b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8. Заключительные положения.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8.1. Настоящее Соглашение вступает в силу и подлежит исполнению Сторонами с момента его подписания) и действует в течение действия Договора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8.2. Все уведомления, извещения, сообщения, требования и иная переписка Сторон по Договору считаются надлежащим образом направленными Стороне, являющейся адресатом: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8.2.1.</w:t>
        <w:tab/>
        <w:t>при вручении лично или с курьером – в момент передачи под роспись;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8.2.2.</w:t>
        <w:tab/>
        <w:t>при почтовой доставке заказным письмом с уведомлением о вручении на адрес, указанный в разделе __. Договора – в момент вручения адресату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8.2.3.</w:t>
        <w:tab/>
        <w:t>при электронной передаче – в момент рассылки (передачи) их на электронный адрес Стороны, указанный в п.____ Соглашения.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8.3. Обязательства по неразглашению персональных данных сохраняются в период действия настоящего Договора, а также после выполнения условий по настоящему Договору, либо после его расторжения.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8.4. Все вопросы, разногласия или требования, возникающие из настоящего Договора или в связи с ним, подлежат урегулированию Сторонами путем переговоров. При отсутствии согласия спор между Сторонами подлежит рассмотрению в Арбитражном суде г. Москвы.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8.5. Соглашение составлено и подписано в двух экземплярах, имеющих одинаковую юридическую силу, по одному экземпляру для каждой Стороны. Соглашение является неотъемлемой частью Договора.</w:t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atLeast" w:line="30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bCs/>
          <w:sz w:val="22"/>
          <w:szCs w:val="22"/>
          <w:lang w:eastAsia="hi-IN" w:bidi="hi-IN"/>
        </w:rPr>
      </w:pPr>
      <w:r>
        <w:rPr>
          <w:rFonts w:eastAsia="SimSun"/>
          <w:bCs/>
          <w:sz w:val="22"/>
          <w:szCs w:val="22"/>
          <w:lang w:eastAsia="hi-IN" w:bidi="hi-IN"/>
        </w:rPr>
        <w:t>Подписи сторон:</w:t>
      </w:r>
    </w:p>
    <w:tbl>
      <w:tblPr>
        <w:tblStyle w:val="ad"/>
        <w:tblW w:w="1019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098"/>
        <w:gridCol w:w="5097"/>
      </w:tblGrid>
      <w:tr>
        <w:trPr/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 w:val="false"/>
              <w:suppressAutoHyphens w:val="true"/>
              <w:spacing w:lineRule="atLeast" w:line="300" w:beforeAutospacing="0" w:before="360" w:afterAutospacing="0" w:after="0"/>
              <w:jc w:val="both"/>
              <w:rPr>
                <w:rFonts w:eastAsia="SimSun"/>
                <w:bCs/>
                <w:sz w:val="22"/>
                <w:szCs w:val="22"/>
                <w:lang w:eastAsia="hi-IN" w:bidi="hi-IN"/>
              </w:rPr>
            </w:pPr>
            <w:r>
              <w:rPr>
                <w:rFonts w:eastAsia="SimSun"/>
                <w:bCs/>
                <w:kern w:val="0"/>
                <w:sz w:val="22"/>
                <w:szCs w:val="22"/>
                <w:lang w:val="ru-RU" w:eastAsia="hi-IN" w:bidi="hi-IN"/>
              </w:rPr>
              <w:t>Оператор: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 w:val="false"/>
              <w:suppressAutoHyphens w:val="true"/>
              <w:spacing w:lineRule="atLeast" w:line="300" w:beforeAutospacing="0" w:before="360" w:afterAutospacing="0" w:after="0"/>
              <w:jc w:val="both"/>
              <w:rPr>
                <w:rFonts w:eastAsia="SimSun"/>
                <w:bCs/>
                <w:sz w:val="22"/>
                <w:szCs w:val="22"/>
                <w:lang w:eastAsia="hi-IN" w:bidi="hi-IN"/>
              </w:rPr>
            </w:pPr>
            <w:r>
              <w:rPr>
                <w:rFonts w:eastAsia="SimSun"/>
                <w:bCs/>
                <w:kern w:val="0"/>
                <w:sz w:val="22"/>
                <w:szCs w:val="22"/>
                <w:lang w:val="ru-RU" w:eastAsia="hi-IN" w:bidi="hi-IN"/>
              </w:rPr>
              <w:t>Обработчик:</w:t>
            </w:r>
          </w:p>
        </w:tc>
      </w:tr>
      <w:tr>
        <w:trPr/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 w:val="false"/>
              <w:suppressAutoHyphens w:val="true"/>
              <w:spacing w:lineRule="atLeast" w:line="300" w:beforeAutospacing="0" w:before="360" w:afterAutospacing="0" w:after="0"/>
              <w:jc w:val="both"/>
              <w:rPr>
                <w:rFonts w:eastAsia="SimSun"/>
                <w:bCs/>
                <w:sz w:val="22"/>
                <w:szCs w:val="22"/>
                <w:lang w:eastAsia="hi-IN" w:bidi="hi-IN"/>
              </w:rPr>
            </w:pPr>
            <w:r>
              <w:rPr>
                <w:rFonts w:eastAsia="SimSun"/>
                <w:bCs/>
                <w:kern w:val="0"/>
                <w:sz w:val="22"/>
                <w:szCs w:val="22"/>
                <w:lang w:val="ru-RU" w:eastAsia="hi-IN" w:bidi="hi-IN"/>
              </w:rPr>
              <w:t>_____________________________/____________/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 w:val="false"/>
              <w:suppressAutoHyphens w:val="true"/>
              <w:spacing w:lineRule="atLeast" w:line="300" w:beforeAutospacing="0" w:before="360" w:afterAutospacing="0" w:after="0"/>
              <w:jc w:val="both"/>
              <w:rPr>
                <w:rFonts w:eastAsia="SimSun"/>
                <w:bCs/>
                <w:sz w:val="22"/>
                <w:szCs w:val="22"/>
                <w:lang w:eastAsia="hi-IN" w:bidi="hi-IN"/>
              </w:rPr>
            </w:pPr>
            <w:r>
              <w:rPr>
                <w:rFonts w:eastAsia="SimSun"/>
                <w:bCs/>
                <w:kern w:val="0"/>
                <w:sz w:val="22"/>
                <w:szCs w:val="22"/>
                <w:lang w:val="ru-RU" w:eastAsia="hi-IN" w:bidi="hi-IN"/>
              </w:rPr>
              <w:t>_____________________________/____________/</w:t>
            </w:r>
          </w:p>
        </w:tc>
      </w:tr>
    </w:tbl>
    <w:p>
      <w:pPr>
        <w:pStyle w:val="NormalWeb"/>
        <w:shd w:val="clear" w:color="auto" w:fill="FFFFFF"/>
        <w:spacing w:lineRule="atLeast" w:line="300" w:beforeAutospacing="0" w:before="360" w:afterAutospacing="0" w:after="0"/>
        <w:jc w:val="both"/>
        <w:rPr>
          <w:rFonts w:eastAsia="SimSun"/>
          <w:bCs/>
          <w:sz w:val="22"/>
          <w:szCs w:val="22"/>
          <w:lang w:eastAsia="hi-IN" w:bidi="hi-IN"/>
        </w:rPr>
      </w:pPr>
      <w:r>
        <w:rPr>
          <w:rFonts w:eastAsia="SimSun"/>
          <w:bCs/>
          <w:sz w:val="22"/>
          <w:szCs w:val="22"/>
          <w:lang w:eastAsia="hi-IN" w:bidi="hi-IN"/>
        </w:rPr>
      </w:r>
    </w:p>
    <w:p>
      <w:pPr>
        <w:pStyle w:val="Normal"/>
        <w:spacing w:lineRule="atLeast" w:line="300"/>
        <w:ind w:firstLine="709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/>
      </w:r>
    </w:p>
    <w:sectPr>
      <w:type w:val="nextPage"/>
      <w:pgSz w:w="11906" w:h="16838"/>
      <w:pgMar w:left="851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3"/>
      <w:numFmt w:val="decimal"/>
      <w:lvlText w:val="%1.%2.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29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29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789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789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49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49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09" w:hanging="1800"/>
      </w:pPr>
      <w:rPr/>
    </w:lvl>
  </w:abstractNum>
  <w:abstractNum w:abstractNumId="2">
    <w:lvl w:ilvl="0">
      <w:start w:val="3"/>
      <w:numFmt w:val="decimal"/>
      <w:lvlText w:val="%1."/>
      <w:lvlJc w:val="left"/>
      <w:pPr>
        <w:tabs>
          <w:tab w:val="num" w:pos="0"/>
        </w:tabs>
        <w:ind w:left="576" w:hanging="576"/>
      </w:pPr>
      <w:rPr>
        <w:rFonts w:ascii="Cambria" w:hAnsi="Cambria" w:cs="Cambri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18" w:hanging="576"/>
      </w:pPr>
      <w:rPr>
        <w:rFonts w:ascii="Cambria" w:hAnsi="Cambria" w:cs="Cambria"/>
      </w:rPr>
    </w:lvl>
    <w:lvl w:ilvl="2">
      <w:start w:val="11"/>
      <w:numFmt w:val="decimal"/>
      <w:lvlText w:val="%1.%2.%3."/>
      <w:lvlJc w:val="left"/>
      <w:pPr>
        <w:tabs>
          <w:tab w:val="num" w:pos="0"/>
        </w:tabs>
        <w:ind w:left="1146" w:hanging="720"/>
      </w:pPr>
      <w:rPr>
        <w:rFonts w:ascii="Cambria" w:hAnsi="Cambria" w:cs="Cambri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146" w:hanging="720"/>
      </w:pPr>
      <w:rPr>
        <w:rFonts w:ascii="Cambria" w:hAnsi="Cambria" w:cs="Cambria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48" w:hanging="1080"/>
      </w:pPr>
      <w:rPr>
        <w:rFonts w:ascii="Cambria" w:hAnsi="Cambria" w:cs="Cambria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790" w:hanging="1080"/>
      </w:pPr>
      <w:rPr>
        <w:rFonts w:ascii="Cambria" w:hAnsi="Cambria" w:cs="Cambr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292" w:hanging="1440"/>
      </w:pPr>
      <w:rPr>
        <w:rFonts w:ascii="Cambria" w:hAnsi="Cambria" w:cs="Cambr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434" w:hanging="1440"/>
      </w:pPr>
      <w:rPr>
        <w:rFonts w:ascii="Cambria" w:hAnsi="Cambria" w:cs="Cambr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936" w:hanging="1800"/>
      </w:pPr>
      <w:rPr>
        <w:rFonts w:ascii="Cambria" w:hAnsi="Cambria" w:cs="Cambri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612" w:hanging="612"/>
      </w:pPr>
      <w:rPr>
        <w:sz w:val="22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825" w:hanging="612"/>
      </w:pPr>
      <w:rPr>
        <w:sz w:val="22"/>
      </w:rPr>
    </w:lvl>
    <w:lvl w:ilvl="2">
      <w:start w:val="11"/>
      <w:numFmt w:val="decimal"/>
      <w:lvlText w:val="%1.%2.%3."/>
      <w:lvlJc w:val="left"/>
      <w:pPr>
        <w:tabs>
          <w:tab w:val="num" w:pos="0"/>
        </w:tabs>
        <w:ind w:left="1146" w:hanging="720"/>
      </w:pPr>
      <w:rPr>
        <w:sz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359" w:hanging="720"/>
      </w:pPr>
      <w:rPr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932" w:hanging="1080"/>
      </w:pPr>
      <w:rPr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145" w:hanging="1080"/>
      </w:pPr>
      <w:rPr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358" w:hanging="1080"/>
      </w:pPr>
      <w:rPr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931" w:hanging="1440"/>
      </w:pPr>
      <w:rPr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144" w:hanging="1440"/>
      </w:pPr>
      <w:rPr>
        <w:sz w:val="22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96" w:hanging="396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396" w:hanging="396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0113e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SimSun" w:cs="Arial"/>
      <w:color w:val="auto"/>
      <w:kern w:val="0"/>
      <w:sz w:val="24"/>
      <w:szCs w:val="24"/>
      <w:lang w:val="ru-RU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7" w:customStyle="1">
    <w:name w:val="s7"/>
    <w:basedOn w:val="DefaultParagraphFont"/>
    <w:qFormat/>
    <w:rsid w:val="00b93380"/>
    <w:rPr/>
  </w:style>
  <w:style w:type="character" w:styleId="Appleconvertedspace" w:customStyle="1">
    <w:name w:val="apple-converted-space"/>
    <w:basedOn w:val="DefaultParagraphFont"/>
    <w:qFormat/>
    <w:rsid w:val="00b93380"/>
    <w:rPr/>
  </w:style>
  <w:style w:type="character" w:styleId="Style14" w:customStyle="1">
    <w:name w:val="Абзац списка Знак"/>
    <w:link w:val="ListParagraph"/>
    <w:uiPriority w:val="34"/>
    <w:qFormat/>
    <w:locked/>
    <w:rsid w:val="000c7939"/>
    <w:rPr>
      <w:rFonts w:ascii="Liberation Serif" w:hAnsi="Liberation Serif" w:eastAsia="SimSun" w:cs="Mangal"/>
      <w:sz w:val="24"/>
      <w:szCs w:val="21"/>
      <w:lang w:eastAsia="hi-IN" w:bidi="hi-I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66612b"/>
    <w:rPr>
      <w:sz w:val="16"/>
      <w:szCs w:val="16"/>
    </w:rPr>
  </w:style>
  <w:style w:type="character" w:styleId="Style15" w:customStyle="1">
    <w:name w:val="Текст примечания Знак"/>
    <w:basedOn w:val="DefaultParagraphFont"/>
    <w:link w:val="Annotationtext"/>
    <w:uiPriority w:val="99"/>
    <w:semiHidden/>
    <w:qFormat/>
    <w:rsid w:val="0066612b"/>
    <w:rPr>
      <w:rFonts w:ascii="Liberation Serif" w:hAnsi="Liberation Serif" w:eastAsia="SimSun" w:cs="Mangal"/>
      <w:sz w:val="20"/>
      <w:szCs w:val="18"/>
      <w:lang w:eastAsia="hi-IN" w:bidi="hi-IN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66612b"/>
    <w:rPr>
      <w:rFonts w:ascii="Liberation Serif" w:hAnsi="Liberation Serif" w:eastAsia="SimSun" w:cs="Mangal"/>
      <w:b/>
      <w:bCs/>
      <w:sz w:val="20"/>
      <w:szCs w:val="18"/>
      <w:lang w:eastAsia="hi-IN" w:bidi="hi-IN"/>
    </w:rPr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66612b"/>
    <w:rPr>
      <w:rFonts w:ascii="Segoe UI" w:hAnsi="Segoe UI" w:eastAsia="SimSun" w:cs="Mangal"/>
      <w:sz w:val="18"/>
      <w:szCs w:val="16"/>
      <w:lang w:eastAsia="hi-I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uiPriority w:val="99"/>
    <w:unhideWhenUsed/>
    <w:qFormat/>
    <w:rsid w:val="00ce0750"/>
    <w:pPr>
      <w:spacing w:beforeAutospacing="1" w:afterAutospacing="1"/>
    </w:pPr>
    <w:rPr>
      <w:rFonts w:ascii="Times New Roman" w:hAnsi="Times New Roman" w:eastAsia="Times New Roman" w:cs="Times New Roman"/>
      <w:lang w:eastAsia="ru-RU" w:bidi="ar-SA"/>
    </w:rPr>
  </w:style>
  <w:style w:type="paragraph" w:styleId="ListParagraph">
    <w:name w:val="List Paragraph"/>
    <w:basedOn w:val="Normal"/>
    <w:link w:val="Style14"/>
    <w:uiPriority w:val="34"/>
    <w:qFormat/>
    <w:rsid w:val="00002441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Annotationtext">
    <w:name w:val="annotation text"/>
    <w:basedOn w:val="Normal"/>
    <w:link w:val="Style15"/>
    <w:uiPriority w:val="99"/>
    <w:semiHidden/>
    <w:unhideWhenUsed/>
    <w:qFormat/>
    <w:rsid w:val="0066612b"/>
    <w:pPr/>
    <w:rPr>
      <w:rFonts w:cs="Mangal"/>
      <w:sz w:val="20"/>
      <w:szCs w:val="18"/>
    </w:rPr>
  </w:style>
  <w:style w:type="paragraph" w:styleId="Annotationsubject">
    <w:name w:val="annotation subject"/>
    <w:basedOn w:val="Annotationtext"/>
    <w:next w:val="Annotationtext"/>
    <w:link w:val="Style16"/>
    <w:uiPriority w:val="99"/>
    <w:semiHidden/>
    <w:unhideWhenUsed/>
    <w:qFormat/>
    <w:rsid w:val="0066612b"/>
    <w:pPr/>
    <w:rPr>
      <w:b/>
      <w:bCs/>
    </w:rPr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66612b"/>
    <w:pPr/>
    <w:rPr>
      <w:rFonts w:ascii="Segoe UI" w:hAnsi="Segoe UI" w:cs="Mangal"/>
      <w:sz w:val="18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7376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F6762-91CF-401A-83E9-9DD769412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Application>LibreOffice/7.4.4.2$MacOSX_X86_64 LibreOffice_project/85569322deea74ec9134968a29af2df5663baa21</Application>
  <AppVersion>15.0000</AppVersion>
  <Pages>6</Pages>
  <Words>2028</Words>
  <Characters>15165</Characters>
  <CharactersWithSpaces>17109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2025-04-03T16:36:00Z</dcterms:created>
  <dc:creator>runity</dc:creator>
  <dc:description/>
  <dc:language>ru-RU</dc:language>
  <cp:lastModifiedBy/>
  <dcterms:modified xsi:type="dcterms:W3CDTF">2025-09-09T19:00:18Z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