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F1FD5">
      <w:pPr>
        <w:spacing w:before="1480"/>
        <w:jc w:val="center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b/>
          <w:color w:val="285A76"/>
          <w:sz w:val="22"/>
        </w:rPr>
        <w:t>软件著作权登记材料</w:t>
      </w:r>
    </w:p>
    <w:p w14:paraId="281B2A3D">
      <w:pPr>
        <w:pStyle w:val="31"/>
        <w:jc w:val="center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b/>
          <w:color w:val="1F2933"/>
          <w:sz w:val="48"/>
        </w:rPr>
        <w:t>用户操作说明书</w:t>
      </w:r>
    </w:p>
    <w:p w14:paraId="0AFA41AD">
      <w:pPr>
        <w:pStyle w:val="26"/>
        <w:jc w:val="center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b/>
          <w:color w:val="285A76"/>
          <w:sz w:val="28"/>
        </w:rPr>
        <w:t>MapToLearn AI书籍概念化学习软件 V1.0</w:t>
      </w:r>
    </w:p>
    <w:p w14:paraId="546C14E2">
      <w:pPr>
        <w:spacing w:before="320"/>
        <w:jc w:val="center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b w:val="0"/>
          <w:color w:val="68737D"/>
          <w:sz w:val="21"/>
        </w:rPr>
        <w:t>Web版主要功能、操作流程及异常处理</w:t>
      </w:r>
    </w:p>
    <w:p w14:paraId="0F18043A">
      <w:pPr>
        <w:spacing w:before="2000"/>
        <w:jc w:val="center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b/>
          <w:color w:val="1F2933"/>
          <w:sz w:val="22"/>
        </w:rPr>
        <w:t>著作权人：个人（身份信息待申请人补充）</w:t>
      </w:r>
    </w:p>
    <w:p w14:paraId="722383AE">
      <w:pPr>
        <w:jc w:val="center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b w:val="0"/>
          <w:color w:val="68737D"/>
          <w:sz w:val="21"/>
        </w:rPr>
        <w:t>材料版本：2026年8月</w:t>
      </w:r>
      <w:bookmarkStart w:id="0" w:name="_GoBack"/>
      <w:bookmarkEnd w:id="0"/>
    </w:p>
    <w:p w14:paraId="7A27BB10">
      <w:p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br w:type="page"/>
      </w:r>
    </w:p>
    <w:p w14:paraId="7B5026E1">
      <w:pPr>
        <w:pStyle w:val="3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1. 软件概述</w:t>
      </w:r>
    </w:p>
    <w:p w14:paraId="57CD27EE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MapToLearn AI书籍概念化学习软件 V1.0用于把Markdown或TXT书籍整理为系统化学习卡片。软件以章节和小节为组织单位，优先生成章节导览，再生成核心概念卡片，从而避免知识点零散。</w:t>
      </w:r>
    </w:p>
    <w:p w14:paraId="260B07ED">
      <w:pPr>
        <w:pStyle w:val="16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输入：Markdown（.md）或纯文本（.txt）书籍。</w:t>
      </w:r>
    </w:p>
    <w:p w14:paraId="4C79118F">
      <w:pPr>
        <w:pStyle w:val="16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处理：章节识别、小节切分、DeepSeek结构化生成、公式规范化与本地保存。</w:t>
      </w:r>
    </w:p>
    <w:p w14:paraId="49481454">
      <w:pPr>
        <w:pStyle w:val="16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输出：章节导览、概念解释、寓言故事、核心公式、知识关系和推荐追问。</w:t>
      </w:r>
    </w:p>
    <w:p w14:paraId="7C23162F">
      <w:pPr>
        <w:pStyle w:val="16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终端：Windows计算机上的现代Web浏览器。</w:t>
      </w:r>
    </w:p>
    <w:p w14:paraId="184F3855">
      <w:pPr>
        <w:pStyle w:val="3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2. 系统要求与启动</w:t>
      </w:r>
    </w:p>
    <w:p w14:paraId="711A3A03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Windows Web版需要后端服务和前端服务同时运行。桌面上的“MapToLearn 启停控制”快捷方式提供启动、关闭和打开网页三个按钮。控制面板显示前后端当前状态，启动成功后默认打开 http://127.0.0.1:5173/。</w:t>
      </w:r>
    </w:p>
    <w:p w14:paraId="1630B675">
      <w:pPr>
        <w:pStyle w:val="16"/>
        <w:bidi w:val="0"/>
        <w:ind w:left="360" w:leftChars="0" w:hanging="360" w:firstLineChars="0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双击桌面“MapToLearn 启停控制”快捷方式。</w:t>
      </w:r>
    </w:p>
    <w:p w14:paraId="17C0C9C9">
      <w:pPr>
        <w:pStyle w:val="16"/>
        <w:bidi w:val="0"/>
        <w:ind w:left="360" w:leftChars="0" w:hanging="360" w:firstLineChars="0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点击“启动应用”，等待状态变为后端和前端均运行中。</w:t>
      </w:r>
    </w:p>
    <w:p w14:paraId="15E0C10F">
      <w:pPr>
        <w:pStyle w:val="16"/>
        <w:bidi w:val="0"/>
        <w:ind w:left="360" w:leftChars="0" w:hanging="360" w:firstLineChars="0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点击“打开网页”进入书库；使用结束后可点击“关闭应用”。</w:t>
      </w:r>
    </w:p>
    <w:p w14:paraId="5A0DCCF0">
      <w:p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br w:type="page"/>
      </w:r>
    </w:p>
    <w:p w14:paraId="25888749">
      <w:pPr>
        <w:pStyle w:val="3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3. 上传书籍与书库</w:t>
      </w:r>
    </w:p>
    <w:p w14:paraId="37F4BEC2">
      <w:pPr>
        <w:keepNext/>
        <w:jc w:val="center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drawing>
          <wp:inline distT="0" distB="0" distL="114300" distR="114300">
            <wp:extent cx="5867400" cy="3937000"/>
            <wp:effectExtent l="0" t="0" r="0" b="635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F2E1C">
      <w:pPr>
        <w:jc w:val="center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b w:val="0"/>
          <w:color w:val="68737D"/>
          <w:sz w:val="18"/>
        </w:rPr>
        <w:t>图1  上传与书库首页</w:t>
      </w:r>
    </w:p>
    <w:p w14:paraId="0ABB8006">
      <w:pPr>
        <w:pStyle w:val="14"/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点击或拖拽上传区域，选择.md或.txt文件。</w:t>
      </w:r>
    </w:p>
    <w:p w14:paraId="7920A946">
      <w:pPr>
        <w:pStyle w:val="14"/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系统校验文件扩展名，自动识别文本编码并保存原文。</w:t>
      </w:r>
    </w:p>
    <w:p w14:paraId="18AF3639">
      <w:pPr>
        <w:pStyle w:val="14"/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上传成功后，书籍出现在“已上传书籍”列表中。</w:t>
      </w:r>
    </w:p>
    <w:p w14:paraId="0F3B633E">
      <w:pPr>
        <w:pStyle w:val="14"/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点击书籍条目进入书籍详情页；书库会显示当前卡片数量。</w:t>
      </w:r>
    </w:p>
    <w:p w14:paraId="425AF3A9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上传内容为空、文件格式不支持或编码无法识别时，页面会显示错误信息。原始书籍文本和切分结果保存在本地数据库中。</w:t>
      </w:r>
    </w:p>
    <w:p w14:paraId="414D46CA">
      <w:p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br w:type="page"/>
      </w:r>
    </w:p>
    <w:p w14:paraId="69FAD364">
      <w:pPr>
        <w:pStyle w:val="3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4. DeepSeek与语音设置</w:t>
      </w:r>
    </w:p>
    <w:p w14:paraId="70C69E10">
      <w:pPr>
        <w:keepNext/>
        <w:jc w:val="center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drawing>
          <wp:inline distT="0" distB="0" distL="114300" distR="114300">
            <wp:extent cx="3311525" cy="6004560"/>
            <wp:effectExtent l="0" t="0" r="3175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600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CB28">
      <w:pPr>
        <w:jc w:val="center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b w:val="0"/>
          <w:color w:val="68737D"/>
          <w:sz w:val="18"/>
        </w:rPr>
        <w:t>图2  模型与语音设置</w:t>
      </w:r>
    </w:p>
    <w:p w14:paraId="6435B3D2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点击顶部“设置”打开模型与语音设置面板。DeepSeek区域用于配置API Key、API Base和模型名称。API Key由用户自行申请并输入，界面不会在截图或返回数据中显示完整密钥。</w:t>
      </w:r>
    </w:p>
    <w:p w14:paraId="36C61832">
      <w:pPr>
        <w:pStyle w:val="16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浏览器TTS：启动快，音色由操作系统和浏览器决定。</w:t>
      </w:r>
    </w:p>
    <w:p w14:paraId="61231253">
      <w:pPr>
        <w:pStyle w:val="16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Kokoro模式：本地模型，支持语音缓存和中英文分段。</w:t>
      </w:r>
    </w:p>
    <w:p w14:paraId="63DA6DB1">
      <w:pPr>
        <w:pStyle w:val="16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Sherpa模式：原生ONNX推理，可选择中文、英文音色并预加载模型。</w:t>
      </w:r>
    </w:p>
    <w:p w14:paraId="11253FE5">
      <w:pPr>
        <w:pStyle w:val="16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阅读速度：支持0.2至2.0倍范围，设置会保存供下次使用。</w:t>
      </w:r>
    </w:p>
    <w:p w14:paraId="08BF38AF">
      <w:p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br w:type="page"/>
      </w:r>
    </w:p>
    <w:p w14:paraId="1D741F30">
      <w:pPr>
        <w:pStyle w:val="3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5. 生成知识卡片</w:t>
      </w:r>
    </w:p>
    <w:p w14:paraId="6F86FEDE">
      <w:pPr>
        <w:keepNext/>
        <w:jc w:val="center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drawing>
          <wp:inline distT="0" distB="0" distL="114300" distR="114300">
            <wp:extent cx="5859780" cy="4177030"/>
            <wp:effectExtent l="0" t="0" r="7620" b="1397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417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CD835">
      <w:pPr>
        <w:jc w:val="center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b w:val="0"/>
          <w:color w:val="68737D"/>
          <w:sz w:val="18"/>
        </w:rPr>
        <w:t>图3  书籍详情与知识卡片列表</w:t>
      </w:r>
    </w:p>
    <w:p w14:paraId="4BFD8B13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书籍详情页显示文件名、卡片总数和已处理小节位置。“继续生成”从当前游标处理下一节；“从头生成”会清空该书旧卡片和对话，再从第一节重新生成。</w:t>
      </w:r>
    </w:p>
    <w:p w14:paraId="58D29393">
      <w:pPr>
        <w:pStyle w:val="14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确认DeepSeek设置可用，进入目标书籍。</w:t>
      </w:r>
    </w:p>
    <w:p w14:paraId="3E0561A8">
      <w:pPr>
        <w:pStyle w:val="14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首次使用选择“继续生成”；需要完全重做时选择“从头生成”。</w:t>
      </w:r>
    </w:p>
    <w:p w14:paraId="54286DDD">
      <w:pPr>
        <w:pStyle w:val="14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系统把一个小节的正文交给DeepSeek，单次最多返回20张卡片。</w:t>
      </w:r>
    </w:p>
    <w:p w14:paraId="7DF6ACC1">
      <w:pPr>
        <w:pStyle w:val="14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每节优先生成一张导览卡，再生成若干概念卡。</w:t>
      </w:r>
    </w:p>
    <w:p w14:paraId="061F8907">
      <w:pPr>
        <w:pStyle w:val="14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生成完成后游标前移，下次继续生成后续小节。</w:t>
      </w:r>
    </w:p>
    <w:p w14:paraId="622BF50B">
      <w:p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br w:type="page"/>
      </w:r>
    </w:p>
    <w:p w14:paraId="15D3ED27">
      <w:pPr>
        <w:pStyle w:val="3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6. 卡片阅读</w:t>
      </w:r>
    </w:p>
    <w:p w14:paraId="53F11337">
      <w:pPr>
        <w:keepNext/>
        <w:jc w:val="center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drawing>
          <wp:inline distT="0" distB="0" distL="114300" distR="114300">
            <wp:extent cx="5866765" cy="2894965"/>
            <wp:effectExtent l="0" t="0" r="635" b="63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6765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0DB53">
      <w:pPr>
        <w:jc w:val="center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b w:val="0"/>
          <w:color w:val="68737D"/>
          <w:sz w:val="18"/>
        </w:rPr>
        <w:t>图4  单卡沉浸阅读界面</w:t>
      </w:r>
    </w:p>
    <w:p w14:paraId="01B40491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点击“开始阅读”后，软件恢复上次退出时的卡片位置。中间区域每屏展示一张卡片；上下滚动或滑动切换卡片。桌面宽屏下，左侧显示可折叠文章大纲，右侧显示当前卡片的追问面板。</w:t>
      </w:r>
    </w:p>
    <w:p w14:paraId="72D3F808">
      <w:pPr>
        <w:pStyle w:val="16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导览卡说明本节为什么需要、能解决什么问题以及下级概念。</w:t>
      </w:r>
    </w:p>
    <w:p w14:paraId="1A2F41F4">
      <w:pPr>
        <w:pStyle w:val="16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概念卡包含一句话解释、通俗解释、寓言故事、核心公式、前置知识和关联概念。</w:t>
      </w:r>
    </w:p>
    <w:p w14:paraId="44DEB0C5">
      <w:pPr>
        <w:pStyle w:val="16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“复制”把当前卡片主要文字写入剪贴板。</w:t>
      </w:r>
    </w:p>
    <w:p w14:paraId="308E59F9">
      <w:pPr>
        <w:pStyle w:val="16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“收藏”切换当前卡片收藏状态并写入数据库。</w:t>
      </w:r>
    </w:p>
    <w:p w14:paraId="3E9319E9">
      <w:pPr>
        <w:pStyle w:val="16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“查看原文片段”展开生成该卡片所依据的书籍原文。</w:t>
      </w:r>
    </w:p>
    <w:p w14:paraId="143250CD">
      <w:p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br w:type="page"/>
      </w:r>
    </w:p>
    <w:p w14:paraId="1B924BEF">
      <w:pPr>
        <w:pStyle w:val="3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7. 公式与知识关系</w:t>
      </w:r>
    </w:p>
    <w:p w14:paraId="0203058D">
      <w:pPr>
        <w:keepNext/>
        <w:jc w:val="center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drawing>
          <wp:inline distT="0" distB="0" distL="114300" distR="114300">
            <wp:extent cx="5820410" cy="4467225"/>
            <wp:effectExtent l="0" t="0" r="0" b="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rcRect l="747"/>
                    <a:stretch>
                      <a:fillRect/>
                    </a:stretch>
                  </pic:blipFill>
                  <pic:spPr>
                    <a:xfrm>
                      <a:off x="0" y="0"/>
                      <a:ext cx="582041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9294F">
      <w:pPr>
        <w:jc w:val="center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b w:val="0"/>
          <w:color w:val="68737D"/>
          <w:sz w:val="18"/>
        </w:rPr>
        <w:t>图5  LaTeX核心公式渲染</w:t>
      </w:r>
    </w:p>
    <w:p w14:paraId="30BD73E1">
      <w:pPr>
        <w:ind w:firstLine="420" w:firstLineChars="200"/>
        <w:jc w:val="both"/>
        <w:rPr>
          <w:rFonts w:hint="default" w:ascii="Times New Roman" w:hAnsi="Times New Roman" w:eastAsia="楷体" w:cs="Times New Roman"/>
          <w:color w:val="1F2933"/>
          <w:sz w:val="21"/>
        </w:rPr>
      </w:pPr>
    </w:p>
    <w:p w14:paraId="12964C4F">
      <w:pPr>
        <w:ind w:firstLine="420" w:firstLineChars="200"/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DeepSeek被要求以标准LaTeX格式返回公式。前端在显示前统一识别行内公式、块级公式和裸公式，并使用KaTeX进行渲染。公式说明逐项解释符号及其物理或数学含义。点击“展开知识关系”可以查看前置知识和关联概念。公式缺失时界面明确显示“无明确公式”，避免把普通文本误当成数学表达式。</w:t>
      </w:r>
    </w:p>
    <w:p w14:paraId="1832643E">
      <w:pPr>
        <w:pStyle w:val="3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8. 追问当前卡片</w:t>
      </w:r>
    </w:p>
    <w:p w14:paraId="6FE8B9DE">
      <w:pPr>
        <w:jc w:val="both"/>
        <w:rPr>
          <w:rFonts w:hint="default" w:ascii="Times New Roman" w:hAnsi="Times New Roman" w:eastAsia="楷体" w:cs="Times New Roman"/>
          <w:color w:val="1F2933"/>
          <w:sz w:val="21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追问面板绑定当前卡片。用户可以点击推荐问题或输入自定义问题。请求会携带卡片标题、章节、原文片段、已有解释和核心公式；回答按段落显示并继续支持LaTeX公式渲染。用户问题与模型回答保存在当前卡片的对话记录中。</w:t>
      </w:r>
    </w:p>
    <w:p w14:paraId="39969C0C">
      <w:pPr>
        <w:jc w:val="center"/>
        <w:rPr>
          <w:rFonts w:hint="default" w:ascii="Times New Roman" w:hAnsi="Times New Roman" w:eastAsia="楷体" w:cs="Times New Roman"/>
          <w:color w:val="1F2933"/>
          <w:sz w:val="21"/>
        </w:rPr>
      </w:pPr>
      <w:r>
        <w:rPr>
          <w:rFonts w:hint="default" w:ascii="Times New Roman" w:hAnsi="Times New Roman" w:eastAsia="楷体" w:cs="Times New Roman"/>
        </w:rPr>
        <w:drawing>
          <wp:inline distT="0" distB="0" distL="114300" distR="114300">
            <wp:extent cx="3266440" cy="6314440"/>
            <wp:effectExtent l="0" t="0" r="10160" b="1016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6440" cy="631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68DD7">
      <w:pPr>
        <w:pStyle w:val="3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9. 语音朗读</w:t>
      </w:r>
    </w:p>
    <w:p w14:paraId="5DEAC663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卡片顶部的朗读按钮默认朗读标题、一句话解释和当前段落；“读寓言”只朗读寓言故事。远程或本地模型生成的音频按文本、语速、音色和模型版本建立缓存，相同内容再次播放时优先复用缓存。</w:t>
      </w:r>
    </w:p>
    <w:p w14:paraId="3279C0FB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输入TTS前，系统规范标点和空白，并按句号拆分长文本。模型未加载时可按需预加载；模型不可用时，Web版可回退到浏览器语音。</w:t>
      </w:r>
    </w:p>
    <w:p w14:paraId="300AFC10">
      <w:pPr>
        <w:pStyle w:val="3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10. 大纲与后台生成</w:t>
      </w:r>
    </w:p>
    <w:p w14:paraId="6456061E">
      <w:pPr>
        <w:jc w:val="both"/>
        <w:rPr>
          <w:rFonts w:hint="default" w:ascii="Times New Roman" w:hAnsi="Times New Roman" w:eastAsia="楷体" w:cs="Times New Roman"/>
          <w:color w:val="1F2933"/>
          <w:sz w:val="21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阅读器左侧大纲按章节编号构建可折叠树。点击小节跳到该节已有卡片。开启“阅读时立即自动生成下一节”后，进入当前小节时系统检查下一节是否已生成；若未生成，则在后台发起一次生成并显示进度。自动生成通过生成游标和请求去重状态避免重复处理同一小节。生成失败时会显示错误信息，用户可以手动点击“生成下一节”重试。</w:t>
      </w:r>
    </w:p>
    <w:p w14:paraId="696881B7">
      <w:pPr>
        <w:jc w:val="center"/>
        <w:rPr>
          <w:rFonts w:hint="default" w:ascii="Times New Roman" w:hAnsi="Times New Roman" w:eastAsia="楷体" w:cs="Times New Roman"/>
          <w:color w:val="1F2933"/>
          <w:sz w:val="21"/>
        </w:rPr>
      </w:pPr>
      <w:r>
        <w:rPr>
          <w:rFonts w:hint="default" w:ascii="Times New Roman" w:hAnsi="Times New Roman" w:eastAsia="楷体" w:cs="Times New Roman"/>
        </w:rPr>
        <w:drawing>
          <wp:inline distT="0" distB="0" distL="114300" distR="114300">
            <wp:extent cx="2895600" cy="4536440"/>
            <wp:effectExtent l="0" t="0" r="0" b="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rcRect b="4532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53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E7EDD">
      <w:pPr>
        <w:jc w:val="both"/>
        <w:rPr>
          <w:rFonts w:hint="default" w:ascii="Times New Roman" w:hAnsi="Times New Roman" w:eastAsia="楷体" w:cs="Times New Roman"/>
        </w:rPr>
      </w:pPr>
    </w:p>
    <w:sectPr>
      <w:footerReference r:id="rId5" w:type="default"/>
      <w:pgSz w:w="11906" w:h="16838"/>
      <w:pgMar w:top="1247" w:right="1332" w:bottom="1134" w:left="1332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80A122">
    <w:pPr>
      <w:pStyle w:val="24"/>
      <w:jc w:val="right"/>
    </w:pPr>
    <w:r>
      <w:rPr>
        <w:rFonts w:ascii="宋体" w:hAnsi="宋体" w:eastAsia="宋体"/>
        <w:color w:val="68737D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宋体" w:hAnsi="宋体" w:eastAsia="宋体"/>
        <w:color w:val="68737D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74FFBC"/>
    <w:multiLevelType w:val="singleLevel"/>
    <w:tmpl w:val="9A74FFB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6B5534"/>
    <w:rsid w:val="0E7B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宋体" w:hAnsi="宋体" w:eastAsia="宋体" w:cstheme="minorBidi"/>
      <w:color w:val="1F29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85A76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85A76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365F75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288" w:lineRule="auto"/>
      <w:contextualSpacing/>
    </w:pPr>
    <w:rPr>
      <w:rFonts w:ascii="宋体" w:hAnsi="宋体" w:eastAsia="宋体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288" w:lineRule="auto"/>
      <w:contextualSpacing/>
    </w:pPr>
    <w:rPr>
      <w:rFonts w:ascii="宋体" w:hAnsi="宋体" w:eastAsia="宋体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160"/>
    </w:pPr>
    <w:rPr>
      <w:rFonts w:asciiTheme="majorHAnsi" w:hAnsiTheme="majorHAnsi" w:eastAsiaTheme="majorEastAsia" w:cstheme="majorBidi"/>
      <w:i/>
      <w:iCs/>
      <w:color w:val="68737D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1F2933"/>
      <w:spacing w:val="5"/>
      <w:kern w:val="28"/>
      <w:sz w:val="4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2297</Words>
  <Characters>2620</Characters>
  <Lines>0</Lines>
  <Paragraphs>0</Paragraphs>
  <TotalTime>7</TotalTime>
  <ScaleCrop>false</ScaleCrop>
  <LinksUpToDate>false</LinksUpToDate>
  <CharactersWithSpaces>2661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Second</cp:lastModifiedBy>
  <dcterms:modified xsi:type="dcterms:W3CDTF">2026-08-10T06:39:17Z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eyJoZGlkIjoiNTJjYjk1NGYyMTFkNDE1MDEzYjk3ODA0MzMzNzIxZmQiLCJ1c2VySWQiOiIxMjQwNDY4NjA1In0=</vt:lpwstr>
  </property>
  <property fmtid="{D5CDD505-2E9C-101B-9397-08002B2CF9AE}" pid="3" name="KSOProductBuildVer">
    <vt:lpwstr>2052-12.1.0.28043</vt:lpwstr>
  </property>
  <property fmtid="{D5CDD505-2E9C-101B-9397-08002B2CF9AE}" pid="4" name="ICV">
    <vt:lpwstr>6CC50177F7E5401D9DBB9923780CA893_12</vt:lpwstr>
  </property>
</Properties>
</file>