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D0553">
      <w:pPr>
        <w:spacing w:before="148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285A76"/>
          <w:sz w:val="22"/>
        </w:rPr>
        <w:t>软件著作权登记材料</w:t>
      </w:r>
    </w:p>
    <w:p w14:paraId="638D48E1">
      <w:pPr>
        <w:pStyle w:val="31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1F2933"/>
          <w:sz w:val="48"/>
        </w:rPr>
        <w:t>软件设计说明书</w:t>
      </w:r>
    </w:p>
    <w:p w14:paraId="3976B91C">
      <w:pPr>
        <w:pStyle w:val="26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285A76"/>
          <w:sz w:val="28"/>
        </w:rPr>
        <w:t>MapToLearn AI书籍概念化学习软件 V1.0</w:t>
      </w:r>
    </w:p>
    <w:p w14:paraId="5073EA84">
      <w:pPr>
        <w:spacing w:before="32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21"/>
        </w:rPr>
        <w:t>系统架构、数据设计、模块职责、接口及安全边界</w:t>
      </w:r>
    </w:p>
    <w:p w14:paraId="6EBE9942">
      <w:pPr>
        <w:spacing w:before="2000"/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/>
          <w:color w:val="1F2933"/>
          <w:sz w:val="22"/>
        </w:rPr>
        <w:t>著作权人：个人（身份信息待申请人补充）</w:t>
      </w:r>
    </w:p>
    <w:p w14:paraId="6381BC36">
      <w:pPr>
        <w:jc w:val="center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b w:val="0"/>
          <w:color w:val="68737D"/>
          <w:sz w:val="21"/>
        </w:rPr>
        <w:t>材料版本：2026年8月</w:t>
      </w:r>
    </w:p>
    <w:p w14:paraId="503CFBE9">
      <w:pPr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br w:type="page"/>
      </w:r>
    </w:p>
    <w:p w14:paraId="7797A51A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1. 文档目的与范围</w:t>
      </w:r>
    </w:p>
    <w:p w14:paraId="31F5C582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本文档描述MapToLearn V1.0 Web版的总体架构、核心业务流程、数据库结构、接口约定、人工智能调用、语音服务和运行维护设计。本次登记范围仅为Web版，文档内容以Web项目源码和实际运行结果为依据。</w:t>
      </w:r>
    </w:p>
    <w:p w14:paraId="44D25E75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2. 总体架构</w:t>
      </w:r>
    </w:p>
    <w:p w14:paraId="53FA1BB5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Web版由浏览器前端、FastAPI后端、SQLite数据库和可选本地TTS服务组成分层结构。React前端通过JSON API访问后端；后端负责文件解析、章节切分、DeepSeek请求、卡片持久化、对话和TTS统一接口。</w:t>
      </w:r>
      <w:bookmarkStart w:id="0" w:name="_GoBack"/>
      <w:bookmarkEnd w:id="0"/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200"/>
        <w:gridCol w:w="4460"/>
      </w:tblGrid>
      <w:tr w14:paraId="3C3CB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BF2FB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层次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CF750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实现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9356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职责</w:t>
            </w:r>
          </w:p>
        </w:tc>
      </w:tr>
      <w:tr w14:paraId="4CBEC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5BE03D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表现层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A493E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React/Vite Web界面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B37D6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上传、书库、大纲、卡片、设置、追问</w:t>
            </w:r>
          </w:p>
        </w:tc>
      </w:tr>
      <w:tr w14:paraId="27262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73E8F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接口层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5F315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FastAPI路由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1ED1FC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请求校验、JSON响应、错误映射</w:t>
            </w:r>
          </w:p>
        </w:tc>
      </w:tr>
      <w:tr w14:paraId="0993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DDCA6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业务层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504DBA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解析、切分、卡片生成、对话、TTS协调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0A164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维护生成顺序和上下文</w:t>
            </w:r>
          </w:p>
        </w:tc>
      </w:tr>
      <w:tr w14:paraId="321C0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301668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数据层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D84F98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SQLite、SQLAlchemy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83609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书籍、卡片、游标、收藏和对话</w:t>
            </w:r>
          </w:p>
        </w:tc>
      </w:tr>
      <w:tr w14:paraId="45807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BC37A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外部能力</w:t>
            </w:r>
          </w:p>
        </w:tc>
        <w:tc>
          <w:tcPr>
            <w:tcW w:w="32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E1534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DeepSeek API；Kokoro/Sherpa/系统TTS</w:t>
            </w:r>
          </w:p>
        </w:tc>
        <w:tc>
          <w:tcPr>
            <w:tcW w:w="44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0827F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内容生成和语音合成</w:t>
            </w:r>
          </w:p>
        </w:tc>
      </w:tr>
    </w:tbl>
    <w:p w14:paraId="7706749E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3. Web前端模块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4B54E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5419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模块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BB12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主要职责</w:t>
            </w:r>
          </w:p>
        </w:tc>
      </w:tr>
      <w:tr w14:paraId="510C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D3E3D8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App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EE037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页面状态路由、书库刷新、设置面板</w:t>
            </w:r>
          </w:p>
        </w:tc>
      </w:tr>
      <w:tr w14:paraId="1D470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17714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UploadPage / UploadBox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E4E85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文件选择、上传状态和错误提示</w:t>
            </w:r>
          </w:p>
        </w:tc>
      </w:tr>
      <w:tr w14:paraId="2B861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5EA6BB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BookPage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321F62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卡片列表、继续生成、从头生成、开始阅读</w:t>
            </w:r>
          </w:p>
        </w:tc>
      </w:tr>
      <w:tr w14:paraId="1686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B0DF6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CardReaderPage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4A1DE3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阅读进度恢复、单卡分页、大纲、后台生成</w:t>
            </w:r>
          </w:p>
        </w:tc>
      </w:tr>
      <w:tr w14:paraId="7091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982AA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ConceptCard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B8D86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解释、寓言、公式、知识关系、原文、复制和收藏</w:t>
            </w:r>
          </w:p>
        </w:tc>
      </w:tr>
      <w:tr w14:paraId="4651D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5B33B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ChatPanel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094E7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推荐问题、自定义追问、对话历史和LaTeX回答</w:t>
            </w:r>
          </w:p>
        </w:tc>
      </w:tr>
      <w:tr w14:paraId="773D6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37175A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DeepSeekSettings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9C286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模型、API和多TTS引擎配置</w:t>
            </w:r>
          </w:p>
        </w:tc>
      </w:tr>
      <w:tr w14:paraId="47C73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5A03E5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VoiceButton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D98B25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文本清洗、TTS调用、缓存音频播放和回退</w:t>
            </w:r>
          </w:p>
        </w:tc>
      </w:tr>
      <w:tr w14:paraId="1E2A8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0494BE4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RichText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F000F1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Markdown式段落和KaTeX公式渲染</w:t>
            </w:r>
          </w:p>
        </w:tc>
      </w:tr>
      <w:tr w14:paraId="08687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18D63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OutlineTree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AAE203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编号识别、层级构建、折叠与跳转</w:t>
            </w:r>
          </w:p>
        </w:tc>
      </w:tr>
    </w:tbl>
    <w:p w14:paraId="3E3C91E4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4. 后端模块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6360"/>
      </w:tblGrid>
      <w:tr w14:paraId="689B9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A6444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模块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FDE7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主要职责</w:t>
            </w:r>
          </w:p>
        </w:tc>
      </w:tr>
      <w:tr w14:paraId="0336A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2933A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upload</w:t>
            </w:r>
          </w:p>
        </w:tc>
        <w:tc>
          <w:tcPr>
            <w:tcW w:w="6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051C9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校验扩展名、保存文件、读取编码、切分并创建书籍</w:t>
            </w:r>
          </w:p>
        </w:tc>
      </w:tr>
      <w:tr w14:paraId="6F11E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1E2088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books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1B84AE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书库、详情、大纲和按游标生成卡片</w:t>
            </w:r>
          </w:p>
        </w:tc>
      </w:tr>
      <w:tr w14:paraId="2CFF4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7CF85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cards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5FB5A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按小节排序读取卡片和收藏切换</w:t>
            </w:r>
          </w:p>
        </w:tc>
      </w:tr>
      <w:tr w14:paraId="767BD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64EE5F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chat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8726C4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绑定当前卡片上下文调用DeepSeek并保存消息</w:t>
            </w:r>
          </w:p>
        </w:tc>
      </w:tr>
      <w:tr w14:paraId="34294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B6CF2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settings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93840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读取、掩码和更新DeepSeek/TTS运行设置</w:t>
            </w:r>
          </w:p>
        </w:tc>
      </w:tr>
      <w:tr w14:paraId="76619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5EA7A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tts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B70BA71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预加载模型、合成音频、返回缓存命中标记</w:t>
            </w:r>
          </w:p>
        </w:tc>
      </w:tr>
      <w:tr w14:paraId="46E82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1DA184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file_parser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58C86C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MD/TXT校验、chardet编码识别和UTF-8规范化</w:t>
            </w:r>
          </w:p>
        </w:tc>
      </w:tr>
      <w:tr w14:paraId="3401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1D4C1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concept_splitter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1484C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章节标题识别、段落聚合和长文本分块</w:t>
            </w:r>
          </w:p>
        </w:tc>
      </w:tr>
      <w:tr w14:paraId="29CFA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DF7E2D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card_generator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B9569B4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小节加载、前置内容过滤、游标和卡片保存</w:t>
            </w:r>
          </w:p>
        </w:tc>
      </w:tr>
      <w:tr w14:paraId="3246F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72F61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deepseek_client</w:t>
            </w:r>
          </w:p>
        </w:tc>
        <w:tc>
          <w:tcPr>
            <w:tcW w:w="63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FEB11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Prompt构造、HTTP调用、JSON提取和异常转换</w:t>
            </w:r>
          </w:p>
        </w:tc>
      </w:tr>
    </w:tbl>
    <w:p w14:paraId="21F4C8F6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5. 数据模型</w:t>
      </w:r>
    </w:p>
    <w:p w14:paraId="310BBAAC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Web版使用SQLite和SQLAlchemy。删除书籍时卡片级联删除；删除卡片时对话级联删除。数组字段在SQLite中以JSON文本保存，通过Schema转换为字符串数组。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800"/>
        <w:gridCol w:w="2760"/>
      </w:tblGrid>
      <w:tr w14:paraId="7B2E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C97E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实体</w:t>
            </w:r>
          </w:p>
        </w:tc>
        <w:tc>
          <w:tcPr>
            <w:tcW w:w="4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C64A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关键字段</w:t>
            </w:r>
          </w:p>
        </w:tc>
        <w:tc>
          <w:tcPr>
            <w:tcW w:w="27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92F4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用途</w:t>
            </w:r>
          </w:p>
        </w:tc>
      </w:tr>
      <w:tr w14:paraId="0A14C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55322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Book</w:t>
            </w:r>
          </w:p>
        </w:tc>
        <w:tc>
          <w:tcPr>
            <w:tcW w:w="4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7429F2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id、title、filename、file_type、raw_text、chunks_json、generation_cursor、created_at</w:t>
            </w:r>
          </w:p>
        </w:tc>
        <w:tc>
          <w:tcPr>
            <w:tcW w:w="27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0CEE6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书籍原文、切分结果和生成位置</w:t>
            </w:r>
          </w:p>
        </w:tc>
      </w:tr>
      <w:tr w14:paraId="4079C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D89C5B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ConceptCard</w:t>
            </w:r>
          </w:p>
        </w:tc>
        <w:tc>
          <w:tcPr>
            <w:tcW w:w="4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C0208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book_id、section_index、card_type、chapter、title、source_text、one_sentence、simple_explanation、fable、formula等</w:t>
            </w:r>
          </w:p>
        </w:tc>
        <w:tc>
          <w:tcPr>
            <w:tcW w:w="27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ED0701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导览卡或概念卡</w:t>
            </w:r>
          </w:p>
        </w:tc>
      </w:tr>
      <w:tr w14:paraId="3581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90663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ChatMessage</w:t>
            </w:r>
          </w:p>
        </w:tc>
        <w:tc>
          <w:tcPr>
            <w:tcW w:w="48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FE6F9C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card_id、role、content、created_at</w:t>
            </w:r>
          </w:p>
        </w:tc>
        <w:tc>
          <w:tcPr>
            <w:tcW w:w="27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5064C9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当前卡片的用户与助手消息</w:t>
            </w:r>
          </w:p>
        </w:tc>
      </w:tr>
    </w:tbl>
    <w:p w14:paraId="56E0A172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6. 文本解析与章节切分</w:t>
      </w:r>
    </w:p>
    <w:p w14:paraId="5E293533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上传路由仅接受.md和.txt。文件保存后由chardet辅助判断编码，解码结果统一为Python Unicode字符串。切分器按空行分块，并识别Markdown井号标题、中文“第X章/节/篇/部”、Chapter N和Lecture N。</w:t>
      </w:r>
    </w:p>
    <w:p w14:paraId="7B386DCA">
      <w:pPr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同一标题下的段落先聚合，再按最大字符数拆分。卡片生成阶段进一步按小节长度限制切分，续段标题追加“续N”。系统过滤目录、参考书、网址和机构信息等疑似前置材料。</w:t>
      </w:r>
    </w:p>
    <w:p w14:paraId="353769BC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7. 卡片生成流程</w:t>
      </w:r>
    </w:p>
    <w:p w14:paraId="673F0F22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读取Book.chunks_json并转换为有序小节。</w:t>
      </w:r>
    </w:p>
    <w:p w14:paraId="1555CDEE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根据generation_cursor选择尚未处理的小节。</w:t>
      </w:r>
    </w:p>
    <w:p w14:paraId="1D4494B2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把完整小节或长度受控的续段发送给DeepSeek。</w:t>
      </w:r>
    </w:p>
    <w:p w14:paraId="0F1E0948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要求返回JSON数组，第一张优先为section_overview，其余为concept。</w:t>
      </w:r>
    </w:p>
    <w:p w14:paraId="6914E18E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校验标题、卡片类型和数组字段，过滤目录及无意义词条。</w:t>
      </w:r>
    </w:p>
    <w:p w14:paraId="7A26200B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保存卡片并把游标前移；单次最多处理一个小节且不超过20张卡片。</w:t>
      </w:r>
    </w:p>
    <w:p w14:paraId="67736B66">
      <w:pPr>
        <w:pStyle w:val="14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阅读器检测下一节未生成时触发同一增量接口并显示进度。</w:t>
      </w:r>
    </w:p>
    <w:p w14:paraId="42A1BE5A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8. DeepSeek接口设计</w:t>
      </w:r>
    </w:p>
    <w:p w14:paraId="15C0C298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服务使用Chat Completions兼容接口，默认模型为deepseek-chat。API Key仅在请求Authorization头中发送；后端设置查询只返回掩码。请求超时、HTTP错误和JSON结构异常会转换为可读错误。卡片Prompt强调知识体系、章节导览、较长寓言、核心公式、符号解释和三个推荐问题。公式必须使用标准LaTeX，行内公式使用美元定界符，块级公式使用双美元定界符。追问Prompt携带当前卡片与原文，不发送整本书。</w:t>
      </w:r>
    </w:p>
    <w:p w14:paraId="23F239CE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9. API接口</w:t>
      </w:r>
    </w:p>
    <w:tbl>
      <w:tblPr>
        <w:tblStyle w:val="33"/>
        <w:tblW w:w="9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900"/>
        <w:gridCol w:w="3960"/>
      </w:tblGrid>
      <w:tr w14:paraId="3E2A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B1FF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方法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D49A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路径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3326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8"/>
              </w:rPr>
              <w:t>用途</w:t>
            </w:r>
          </w:p>
        </w:tc>
      </w:tr>
      <w:tr w14:paraId="55F1B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FEF55C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827168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/api/upload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F1BCE6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上传MD/TXT并创建Book</w:t>
            </w:r>
          </w:p>
        </w:tc>
      </w:tr>
      <w:tr w14:paraId="2A498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22B7A0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2C09EE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/api/books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6C965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查询书库与卡片数量</w:t>
            </w:r>
          </w:p>
        </w:tc>
      </w:tr>
      <w:tr w14:paraId="1C0C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47C27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E27EBB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/api/books/{id}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517D4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查询书籍详情</w:t>
            </w:r>
          </w:p>
        </w:tc>
      </w:tr>
      <w:tr w14:paraId="77571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ECDF2E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EF8F7F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/api/books/{id}/outline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EEB30A4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查询小节大纲和生成状态</w:t>
            </w:r>
          </w:p>
        </w:tc>
      </w:tr>
      <w:tr w14:paraId="073ED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C5952B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1ABA95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/api/books/{id}/generate-cards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94CDFBE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增量或强制重建卡片</w:t>
            </w:r>
          </w:p>
        </w:tc>
      </w:tr>
      <w:tr w14:paraId="7D863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0707661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943C5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/api/books/{id}/cards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3497DA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查询有序卡片</w:t>
            </w:r>
          </w:p>
        </w:tc>
      </w:tr>
      <w:tr w14:paraId="154E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6C0F04B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52590E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/api/cards/{id}/favorite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67F17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切换收藏</w:t>
            </w:r>
          </w:p>
        </w:tc>
      </w:tr>
      <w:tr w14:paraId="3C869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D56B8A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GET/POST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D0CC2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/api/cards/{id}/chat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7EFCF1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读取或提交追问</w:t>
            </w:r>
          </w:p>
        </w:tc>
      </w:tr>
      <w:tr w14:paraId="174B7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0AB253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GET/PUT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EB931F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/api/settings/deepseek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A26C99D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读取或更新模型设置</w:t>
            </w:r>
          </w:p>
        </w:tc>
      </w:tr>
      <w:tr w14:paraId="4F761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E179A9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GET/PUT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F596E2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/api/settings/tts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D30CC7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读取或更新语音设置</w:t>
            </w:r>
          </w:p>
        </w:tc>
      </w:tr>
      <w:tr w14:paraId="48A0F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25498C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F98FB6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/api/tts/preload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C8B994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预加载语音模型</w:t>
            </w:r>
          </w:p>
        </w:tc>
      </w:tr>
      <w:tr w14:paraId="7F578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6B5BFA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POST</w:t>
            </w:r>
          </w:p>
        </w:tc>
        <w:tc>
          <w:tcPr>
            <w:tcW w:w="390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C090A40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/api/tts/speech</w:t>
            </w:r>
          </w:p>
        </w:tc>
        <w:tc>
          <w:tcPr>
            <w:tcW w:w="396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ADEE798">
            <w:pPr>
              <w:jc w:val="center"/>
              <w:rPr>
                <w:rFonts w:hint="default" w:ascii="Times New Roman" w:hAnsi="Times New Roman" w:eastAsia="楷体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楷体" w:cs="Times New Roman"/>
                <w:b w:val="0"/>
                <w:color w:val="000000"/>
                <w:sz w:val="17"/>
              </w:rPr>
              <w:t>合成音频并返回缓存标记</w:t>
            </w:r>
          </w:p>
        </w:tc>
      </w:tr>
    </w:tbl>
    <w:p w14:paraId="4117F3EB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10. 阅读状态与交互</w:t>
      </w:r>
    </w:p>
    <w:p w14:paraId="642A7592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Web版使用localStorage按book_id保存cardId、索引、小节索引和时间戳。进入阅读器后优先恢复cardId，若卡片已变化则回退到保存的索引。滚动位置换算为当前卡片索引，并触发收藏、复制、语音和追问等局部交互。</w:t>
      </w:r>
    </w:p>
    <w:p w14:paraId="4E288F0B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11. LaTeX公式渲染</w:t>
      </w:r>
    </w:p>
    <w:p w14:paraId="7A1F6430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前端对formula字段执行规范化：保留已有块级或行内定界符；把\[...\]和\(...\)转换为美元定界符；裸公式自动包装为块级公式。RichText负责识别文本中的公式片段并交给KaTeX渲染。</w:t>
      </w:r>
    </w:p>
    <w:p w14:paraId="783703B8">
      <w:pPr>
        <w:pStyle w:val="3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</w:rPr>
        <w:t>12. 语音体系</w:t>
      </w:r>
    </w:p>
    <w:p w14:paraId="7B542930">
      <w:pPr>
        <w:ind w:firstLine="420" w:firstLineChars="200"/>
        <w:jc w:val="both"/>
        <w:rPr>
          <w:rFonts w:hint="default" w:ascii="Times New Roman" w:hAnsi="Times New Roman" w:eastAsia="楷体" w:cs="Times New Roman"/>
        </w:rPr>
      </w:pPr>
      <w:r>
        <w:rPr>
          <w:rFonts w:hint="default" w:ascii="Times New Roman" w:hAnsi="Times New Roman" w:eastAsia="楷体" w:cs="Times New Roman"/>
          <w:color w:val="1F2933"/>
          <w:sz w:val="21"/>
        </w:rPr>
        <w:t>Web版语音统一由VoiceButton读取设置。浏览器模式使用Web Speech API；Kokoro模式通过本地服务生成音频；Sherpa模式在FastAPI进程内使用ONNX模型。中英文混合文本按字符语言拆段，生成后插入短静音并拼接。</w:t>
      </w:r>
    </w:p>
    <w:p w14:paraId="52A7DDC6">
      <w:pPr>
        <w:jc w:val="both"/>
        <w:rPr>
          <w:rFonts w:hint="default" w:ascii="Times New Roman" w:hAnsi="Times New Roman" w:eastAsia="楷体" w:cs="Times New Roman"/>
        </w:rPr>
      </w:pPr>
    </w:p>
    <w:sectPr>
      <w:footerReference r:id="rId5" w:type="default"/>
      <w:pgSz w:w="11906" w:h="16838"/>
      <w:pgMar w:top="1247" w:right="1332" w:bottom="1134" w:left="1332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7E0FDC">
    <w:pPr>
      <w:pStyle w:val="24"/>
      <w:jc w:val="right"/>
    </w:pPr>
    <w:r>
      <w:rPr>
        <w:rFonts w:ascii="宋体" w:hAnsi="宋体" w:eastAsia="宋体"/>
        <w:color w:val="68737D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宋体" w:hAnsi="宋体" w:eastAsia="宋体"/>
        <w:color w:val="68737D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827B1"/>
    <w:rsid w:val="5B1B3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宋体" w:hAnsi="宋体" w:eastAsia="宋体" w:cstheme="minorBidi"/>
      <w:color w:val="1F293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85A76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85A76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365F75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8" w:lineRule="auto"/>
      <w:contextualSpacing/>
    </w:pPr>
    <w:rPr>
      <w:rFonts w:ascii="宋体" w:hAnsi="宋体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8" w:lineRule="auto"/>
      <w:contextualSpacing/>
    </w:pPr>
    <w:rPr>
      <w:rFonts w:ascii="宋体" w:hAnsi="宋体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60"/>
    </w:pPr>
    <w:rPr>
      <w:rFonts w:asciiTheme="majorHAnsi" w:hAnsiTheme="majorHAnsi" w:eastAsiaTheme="majorEastAsia" w:cstheme="majorBidi"/>
      <w:i/>
      <w:iCs/>
      <w:color w:val="68737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1F2933"/>
      <w:spacing w:val="5"/>
      <w:kern w:val="28"/>
      <w:sz w:val="4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2422</Words>
  <Characters>3804</Characters>
  <Lines>0</Lines>
  <Paragraphs>0</Paragraphs>
  <TotalTime>3</TotalTime>
  <ScaleCrop>false</ScaleCrop>
  <LinksUpToDate>false</LinksUpToDate>
  <CharactersWithSpaces>3849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Second</cp:lastModifiedBy>
  <dcterms:modified xsi:type="dcterms:W3CDTF">2026-08-10T06:43:26Z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eyJoZGlkIjoiNTJjYjk1NGYyMTFkNDE1MDEzYjk3ODA0MzMzNzIxZmQiLCJ1c2VySWQiOiIxMjQwNDY4NjA1In0=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69D42E575FE04883BE5A076AFB384344_12</vt:lpwstr>
  </property>
</Properties>
</file>