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C24" w:rsidRPr="006F5789" w:rsidRDefault="006F5789" w:rsidP="006F5789">
      <w:pPr>
        <w:pStyle w:val="1"/>
        <w:spacing w:before="0" w:afterLines="100" w:line="288" w:lineRule="auto"/>
        <w:jc w:val="center"/>
        <w:rPr>
          <w:rFonts w:ascii="Times New Roman" w:hAnsi="Times New Roman" w:cs="Times New Roman"/>
        </w:rPr>
      </w:pPr>
      <w:r w:rsidRPr="006F5789">
        <w:rPr>
          <w:rFonts w:ascii="Times New Roman" w:eastAsia="Microsoft YaHei" w:hAnsi="Times New Roman" w:cs="Times New Roman"/>
          <w:noProof/>
        </w:rPr>
        <w:t>Передовые решения в области зеленой энергетики для транспорта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Pr>
          <w:rFonts w:ascii="Times New Roman" w:eastAsia="Microsoft YaHei" w:hAnsi="Times New Roman" w:cs="Times New Roman"/>
          <w:b/>
          <w:noProof/>
          <w:sz w:val="28"/>
          <w:szCs w:val="28"/>
        </w:rPr>
        <w:t>АБСТРАКТ</w:t>
      </w:r>
      <w:r w:rsidRPr="006F5789">
        <w:rPr>
          <w:rFonts w:ascii="Times New Roman" w:eastAsia="Microsoft YaHei" w:hAnsi="Times New Roman" w:cs="Times New Roman"/>
          <w:b/>
          <w:noProof/>
          <w:sz w:val="28"/>
          <w:szCs w:val="28"/>
        </w:rPr>
        <w:t>:</w:t>
      </w:r>
      <w:r w:rsidRPr="006F5789">
        <w:rPr>
          <w:rFonts w:ascii="Times New Roman" w:hAnsi="Times New Roman" w:cs="Times New Roman"/>
          <w:noProof/>
          <w:sz w:val="28"/>
          <w:szCs w:val="28"/>
        </w:rPr>
        <w:br/>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этой диссертации я исследую внедрение передовых решений в области зеленой энергетики для улучшения транспортных систем в Узбекистане. Я даю всесторонний анализ текущих транспортных проблем, с которыми сталкивается страна, и подчеркиваю необходимость интеграции возобновляемых источников энергии, таких как солнечная и ветровая энергия, для создания устойчивой электрической транспортной сети. Я предлагаю многогранный подход, который объединяет солнечную и ветровую энергию с гибридными системами, поддерживаемыми надежной инфраструктурой зарядных станций, для значительного сокращения выбросов парниковых газов и улучшения качества воздуха. Анализ включает в себя тематические исследования успешных внедрений во всем мире и подчеркивает социальные, экономические и медицинские преимущества для сообществ. Кроме того, я излагаю поэтапную стратегию внедрения, рассматривая политические рамки, региональную специфику и роль аналитики данных в оптимизации предоставления услуг. Это исследование направлено на согласование транспортных инициатив Узбекистана с целями устойчивого развития, способствуя энергетической независимости страны и долгосрочному общественному благосостоянию.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Ключевые слова: </w:t>
      </w:r>
      <w:r w:rsidRPr="006F5789">
        <w:rPr>
          <w:rFonts w:ascii="Times New Roman" w:eastAsia="Microsoft YaHei" w:hAnsi="Times New Roman" w:cs="Times New Roman"/>
          <w:noProof/>
          <w:sz w:val="28"/>
          <w:szCs w:val="28"/>
        </w:rPr>
        <w:t>зеленая энергия, транспорт, возобновляемые источники энергии, устойчивое развитие, Узбекистан.</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Введение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страна в Центральной Азии, не имеющая выхода к морю, переживает быстрый экономический рост и урбанизацию, что оказывает значительное давление на ее транспортные системы. Транспортные проблемы страны многогранны и обусловлены устаревшей инфраструктурой, зависимостью от ископаемого топлива и ограниченным доступом к устойчивым альтернативам. Эти проблемы способствуют ухудшению состояния окружающей среды, выбросам парниковых газов и проблемам общественного здравоохранения. Решение этих проблем имеет решающее значение не только для снижения воздействия на окружающую среду, но и для обеспечения долгосрочного экономического и социального развития. Решения в области зеленой энергетики, особенно в транспортном секторе, предлагают Узбекистану многообещающий путь к переходу к более устойчивому и энергоэффективному будущему. Используя свои богатые возобновляемые энергетические ресурсы, страна может создать передовую транспортную сеть, работающую на чистых источниках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Решения в области зеленой энергетики определяются как энергетические системы, которые минимизируют вред окружающей среде и полагаются на возобновляемые ресурсы, такие как солнечные, ветровые и гибридные технологии. Эти решения все чаще интегрируются в транспортные системы по всему миру для решения проблем </w:t>
      </w:r>
      <w:r w:rsidRPr="006F5789">
        <w:rPr>
          <w:rFonts w:ascii="Times New Roman" w:eastAsia="Microsoft YaHei" w:hAnsi="Times New Roman" w:cs="Times New Roman"/>
          <w:noProof/>
          <w:sz w:val="28"/>
          <w:szCs w:val="28"/>
        </w:rPr>
        <w:lastRenderedPageBreak/>
        <w:t>неэффективности использования энергии и загрязнения. Для Узбекистана принятие передовых инициатив в области зеленой энергетики в транспортном секторе может значительно преобразовать то, как люди и товары перемещаются по городским и сельским районам. Эта трансформация согласуется с глобальными целями в области устойчивого развития (ЦУР), особенно теми, которые направлены на борьбу с изменением климата, обеспечение доступной и чистой энергии и содействие устойчивым городам и сообществам (Шакирова и Авулчаева, 2024). Более того, уникальные географические и климатические условия Узбекистана делают его идеальным кандидатом для проектов в области возобновляемой энергетики, включая системы солнечной и ветровой энергетики, которые можно эффективно интегрировать в транспортные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Значение согласования инициатив в области зеленой энергетики с ЦУР невозможно переоценить. Поскольку Узбекистан предпринимает шаги по модернизации своей инфраструктуры и сокращению своего углеродного следа, он должен учитывать региональную специфику производства энергии. Это включает в себя использование природных ресурсов, оптимизацию мощностей по производству энергии и разработку политики, поддерживающей устойчивые практики. Поступая так, страна может достичь двойной цели: стимулировать экономический рост и решать экологические проблемы. По словам Караджановой и Саидовой (2023), инвестиции в проекты в области возобновляемой энергетики необходимы не только для снижения зависимости от ископаемого топлива, но и для создания надежной основы для устойчивого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Таким образом, тезис этого обсуждения заключается в том, что передовые решения в области зеленой энергетики, охватывающие солнечные, ветровые и гибридные системы в сочетании с мобильной электрической транспортной сетью, имеют потенциал для значительного повышения устойчивого развития Узбекистана. Эти инициативы могут улучшить состояние окружающей среды, сократить выбросы парниковых газов и обеспечить экономические и социальные выгоды для сообществ по всей стране. Благодаря комплексному планированию, политической поддержке и технологическим инновациям Узбекистан может стать региональным лидером в области устойчивых транспортных решений.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Транспортный сектор Узбекистана сталкивается с рядом проблем, которые мешают его эффективности и устойчивости. Во-первых, зависимость от ископаемого топлива остается доминирующей проблемой. Обычные транспортные средства, работающие на бензине и дизельном топливе, вносят значительный вклад в загрязнение воздуха и выбросы парниковых газов. По словам Джалиловой (2021), модели потребления энергии в Узбекистане сильно перекошены в сторону ископаемого топлива, с ограниченным внедрением технологий возобновляемой энергии в транспортном секторе. Эта зависимость не только усугубляет экологические проблемы, но и создает экономическую уязвимость, поскольку импорт топлива истощает национальные финансы.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Во-вторых, устаревшая транспортная инфраструктура в Узбекистане создает препятствия для модернизации. Дороги, железные дороги и системы общественного транспорта требуют существенной модернизации для удовлетворения растущего спроса и интеграции решений в области зеленой энергетики. Филипович, Орлов и Панич (2024) подчеркивают, что повышение энергоэффективности и использования ресурсов в транспортной инфраструктуре имеет решающее значение для снижения общей энергоемкости. Без таких модернизаций реализация инициатив в области зеленой энергетики может столкнуться с логистическими ограничениями.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В-третьих, урбанизация и рост населения увеличивают потребность в транспорте, особенно в крупных городах, таких как Ташкент и Самарканд. Отсутствие эффективных систем общественного транспорта приводит к большей зависимости от личных транспортных средств, что еще больше способствует заторам и загрязнению. Адхамова (2024) подчеркивает, что принятие модели зеленой экономики, включая инвестиции в устойчивый транспорт, может помочь Узбекистану соответствовать международным экологическим стандартам и улучшить городскую мобильность.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Передовые решения в области зеленой энергетики представляют собой инновационные подходы к использованию возобновляемой энергии для устойчивого развития. В транспортном секторе эти решения включают интеграцию источников чистой энергии, таких как солнечные, ветровые и гибридные системы, в технологии транспортных средств, инфраструктуру и сети. Цель состоит в том, чтобы создать транспортные системы, которые являются энергоэффективными, экологически чистыми и экономически жизнеспособными.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солнечную энергию можно использовать с помощью фотоэлектрических систем и солнечных зарядных станций для электромобилей (ЭМ). Как отмечают Бутабоев и Ахунова (2023), потенциал солнечной энергии в Узбекистане замечательный, с возможностью производить в шесть раз больше электроэнергии, чем его текущие потребности. Это изобилие солнечной энергии можно стратегически использовать для питания транспортных сетей, снижая зависимость от ископаемого топлива и минимизируя выбросы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Ветроэнергетика — еще один жизнеспособный вариант для Узбекистана. При благоприятных ветровых условиях в определенных регионах ветряные турбины могут быть интегрированы в транспортную инфраструктуру для выработки чистой энергии. Жамолиддин огли, София и Апанди (2023) подчеркивают важность перехода на возобновляемые источники энергии, включая энергию ветра, для изменения энергетического ландшафта Узбекистана. Гибридные системы, которые объединяют солнечную и ветровую энергию, предлагают дополнительные преимущества, обеспечивая стабильную генерацию энергии даже при изменчивых погодных условиях.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Интеграция этих источников энергии в транспортные системы подразумевает не только технологические достижения, но и стратегическое планирование и инвестиции. Танака (2022) подчеркивает роль межправительственных соглашений и государственно-частного партнерства (ГЧП) в содействии проектам возобновляемой энергетики в </w:t>
      </w:r>
      <w:r w:rsidRPr="006F5789">
        <w:rPr>
          <w:rFonts w:ascii="Times New Roman" w:eastAsia="Microsoft YaHei" w:hAnsi="Times New Roman" w:cs="Times New Roman"/>
          <w:noProof/>
          <w:sz w:val="28"/>
          <w:szCs w:val="28"/>
        </w:rPr>
        <w:lastRenderedPageBreak/>
        <w:t>Узбекистане. Такое сотрудничество может обеспечить финансовую и техническую поддержку, необходимую для эффективной реализации передовых решений в области зеленой 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Инициативы Узбекистана в области зеленой энергетики в сфере транспорта тесно связаны с несколькими ЦУР, включая Цель 7 (Недорогостоящая и чистая энергия), Цель 11 (Устойчивые города и сообщества) и Цель 13 (Борьба с изменением климата). Внедряя технологии возобновляемой энергии, страна может сократить расходы на энергию, улучшить городские транспортные системы и внести вклад в глобальные усилия по борьбе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ключевых факторов такого выравнивания является возможность использования местных ресурсов для производства энергии. Как отмечают Яхшиликов, Кавана и Леоне (2024), Узбекистан обладает значительным потенциалом возобновляемой энергии, особенно солнечной и ветровой. Использование этих ресурсов не только повышает энергетическую независимость, но и создает экономические возможности за счет создания рабочих мест и развития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решения в области транспорта на основе зеленой энергии могут улучшить качество жизни узбекских общин за счет снижения загрязнения воздуха и содействия созданию более здоровой окружающей среды. Озодбек и Зумира (2023) подчеркивают, что устойчивые транспортные системы имеют важное значение для решения городских проблем и повышения благосостояния общин. Отдавая приоритет проектам в области зеленой энергии, Узбекистан может гарантировать, что его траектория развития останется инклюзивной и экологически ответственной.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переход к передовым решениям в области зеленой энергетики в транспортном секторе Узбекистана является как необходимостью, так и возможностью. Солнечные, ветровые и гибридные системы в сочетании с мобильной электрической транспортной сетью открывают путь к устойчивому развитию, которое решает экологические, экономические и социальные проблемы. Согласовывая эти инициативы с ЦУР и используя региональные особенности производства энергии, Узбекистан может построить транспортную систему, которая будет не только эффективной и экологичной, но и выгодной для своих сообществ.</w:t>
      </w:r>
    </w:p>
    <w:p w:rsidR="00FF5C24" w:rsidRDefault="006F5789" w:rsidP="006F5789">
      <w:pPr>
        <w:spacing w:after="0" w:line="288" w:lineRule="auto"/>
        <w:ind w:firstLineChars="200" w:firstLine="560"/>
        <w:rPr>
          <w:rFonts w:ascii="Times New Roman" w:eastAsia="Microsoft YaHei" w:hAnsi="Times New Roman" w:cs="Times New Roman"/>
          <w:noProof/>
          <w:sz w:val="28"/>
          <w:szCs w:val="28"/>
          <w:lang w:val="ru-RU"/>
        </w:rPr>
      </w:pPr>
      <w:r w:rsidRPr="006F5789">
        <w:rPr>
          <w:rFonts w:ascii="Times New Roman" w:eastAsia="Microsoft YaHei" w:hAnsi="Times New Roman" w:cs="Times New Roman"/>
          <w:noProof/>
          <w:sz w:val="28"/>
          <w:szCs w:val="28"/>
        </w:rPr>
        <w:t>Путь вперед требует сотрудничества между государственными учреждениями, заинтересованными сторонами частного сектора и международными организациями. Стратегические инвестиции, политические рамки и технологические инновации будут иметь ключевое значение для реализации полного потенциала решений в области зеленой энергетики в Узбекистане. Поскольку страна принимает эту трансформацию, у нее есть шанс подать пример другим странам региона, продемонстрировав силу возобновляемой энергии для стимулирования устойчивой транспортировки и развития.</w:t>
      </w:r>
    </w:p>
    <w:p w:rsidR="006F5789" w:rsidRPr="006F5789" w:rsidRDefault="006F5789" w:rsidP="006F5789">
      <w:pPr>
        <w:spacing w:after="0" w:line="288" w:lineRule="auto"/>
        <w:ind w:firstLineChars="200" w:firstLine="560"/>
        <w:rPr>
          <w:rFonts w:ascii="Times New Roman" w:hAnsi="Times New Roman" w:cs="Times New Roman"/>
          <w:sz w:val="28"/>
          <w:szCs w:val="28"/>
          <w:lang w:val="ru-RU"/>
        </w:rPr>
      </w:pP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Обзор комбинированных энергетических решений</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солнечной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Объясните потенциал солнечной энергии в Узбекистане с учетом его климатических и географических условий.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обладает значительным потенциалом солнечной энергии, в первую очередь благодаря своим благоприятным географическим и климатическим условиям. Расположенный в Центральной Азии, Узбекистан характеризуется континентальным климатом, который включает жаркое лето и мягкую зиму. Среднегодовая продолжительность солнечного сияния превышает 3000 часов, и страна наслаждается высоким уровнем солнечной радиации, со средней солнечной инсоляцией около 1700 кВтч/м² в год. Этот обильный солнечный свет делает Узбекистан идеальным кандидатом для освоения солнечной энергии, позиционируя его как лидера в развитии возобновляемых источников энергии в регионе.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географическое разнообразие Узбекистана с его обширными пустынями, такими как Кызылкум, и горными районами хребта Тянь-Шань создает уникальные возможности для проектов солнечной энергетики. В частности, обширные равнинные пространства пустыни Кызылкум идеально подходят для крупномасштабных солнечных ферм. Эти территории могут быть освоены с минимальным нарушением существующих экосистем, что делает их оптимальным местом для генерации солнечной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дополнение к благоприятному климату, правительство Узбекистана признало потенциал солнечной энергии и предпринимает шаги по содействию ее использованию. Недавние инициативы включали создание национальной политики, направленной на увеличение доли возобновляемой энергии в общем энергетическом балансе. Например, правительство поставило цель производить 25% своей электроэнергии из возобновляемых источников к 2030 году. Это обязательство является частью более широкой стратегии по диверсификации энергетического сектора, снижению зависимости от ископаемого топлива и решению проблем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 ростом глобального перехода на более чистые источники энергии, Узбекистан имеет возможность привлекать иностранные инвестиции в проекты солнечной энергетики. Международные компании проявляют интерес к сотрудничеству с Узбекистаном в развитии инфраструктуры солнечной энергетики, которая может создать рабочие места, стимулировать экономический рост и обеспечить устойчивое энергоснабжение транспортных систем страны. Синергия между государственной поддержкой и инвестициями частного сектора создает многообещающую среду для интеграции солнечной энергетики в Узбекистане, в конечном итоге способствуя достижению целей устойчивого развития страны.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Обсудите такие технологии, как фотоэлектрические системы и солнечные панели для применения в транспорте.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Фотоэлектрические (PV) системы являются основной технологией, используемой для преобразования солнечного света в электричество. Эти системы состоят из </w:t>
      </w:r>
      <w:r w:rsidRPr="006F5789">
        <w:rPr>
          <w:rFonts w:ascii="Times New Roman" w:eastAsia="Microsoft YaHei" w:hAnsi="Times New Roman" w:cs="Times New Roman"/>
          <w:noProof/>
          <w:sz w:val="28"/>
          <w:szCs w:val="28"/>
        </w:rPr>
        <w:lastRenderedPageBreak/>
        <w:t>солнечных панелей, состоящих из множества солнечных элементов, которые улавливают солнечный свет и преобразуют его в полезную электрическую энергию. В контексте транспорта интеграция солнечной технологии может обеспечить чистый и возобновляемый источник энергии для электромобилей (EV) и других транспортных систем.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Существуют различные типы солнечных панелей, включая монокристаллические, поликристаллические и тонкопленочные технологии. Монокристаллические солнечные панели известны своей высокой эффективностью и компактной конструкцией, что делает их идеальными для городских применений, где пространство ограничено. С другой стороны, поликристаллические панели, как правило, менее дороги, но имеют немного более низкую эффективность. Тонкопленочные солнечные панели легкие и гибкие, что может быть выгодно для применений, где традиционные панели не могут быть использованы.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транспортных приложений появились инновационные решения. Например, солнечные панели могут быть встроены в крыши электробусов, грузовиков и автомобилей, что позволит этим транспортным средствам использовать солнечную энергию во время движения. Такая интеграция может увеличить дальность хода электромобилей и снизить зависимость от инфраструктуры зарядки. Кроме того, все большую популярность приобретают зарядные станции на солнечных батареях, позволяющие заряжать электромобили от возобновляемой энергии, а не от сети, которая все еще может полагаться на ископаемое топливо.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одним примечательным применением является использование солнечных дорог. Это специально спроектированные дороги, оснащенные солнечными панелями, которые генерируют энергию, поддерживая движение транспортных средств. Хотя солнечные дороги все еще находятся на экспериментальной стадии, они потенциально могут питать близлежащую инфраструктуру, включая светофоры и уличное освещение, а также служить зарядными станциями для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примеров успешной интеграции солнечной энергии в транспорт является проект Solar Impulse, который продемонстрировал, что самолет на солнечных батареях может облететь земной шар, продемонстрировав потенциал солнечной энергии в различных видах транспорта. Кроме того, в Нидерландах эксплуатируются поезда на солнечных батареях, что успешно сократило углеродный след железнодорожного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внедрение фотоэлектрических систем для транспорта может значительно способствовать сокращению выбросов парниковых газов и улучшению качества воздуха в городских районах. Внедрение солнечных панелей в общественном транспорте, таком как автобусы и такси, также может проложить путь к более устойчивой и экологичной транспортной системе, в конечном итоге принося пользу сообществам, предоставляя решения в области чистой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Приведите примеры успешной интеграции солнечной энергии в транспортные системы по всему миру.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 всему миру различные страны успешно интегрировали солнечную энергию в свои транспортные системы, что послужило вдохновляющим примером для Узбекистана. Одним из таких случаев является город Сан-Диего, Калифорния, который внедрил надежную программу солнечной энергии для своей системы общественного транспорта. Система городского транзита Сан-Диего (MTS) оснастила свои автобусные парки солнечными панелями, что позволило предприятию вырабатывать собственную электроэнергию. Эта инициатива значительно сократила расходы на электроэнергию и выбросы углерода, продемонстрировав жизнеспособность солнечной энергии в городском транспорте.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Европе Нидерланды выделяются как лидер в интеграции солнечной энергии в транспорт. Страна запустила электропоезда на солнечных батареях, которые работают исключительно на возобновляемой энергии. С 2017 года голландские железные дороги объявили, что они работают на 100% возобновляемой энергии, и солнечная энергия играет решающую роль в достижении этой цели. Использование солнечной энергии не только помогает сократить углеродный след транспортного сектора, но и усиливает приверженность страны устойчивому развитию и сохранению окружающей среды.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Другой замечательный пример — Австралия, где в таких городах, как Брисбен и Перт, все большую популярность приобретают автобусы на солнечных батареях. Эти автобусы оснащены солнечными панелями на крышах, которые генерируют электроэнергию для питания бортовых систем, таких как кондиционер и освещение. Это нововведение не только снижает расход топлива, но и способствует общей энергоэффективности систем общественного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 Японии корпорация «Shimizu Corporation» ввела паромные перевозки на солнечной энергии, которые используют солнечные панели, установленные на крыше парома. Эта инициатива направлена на содействие устойчивому морскому транспорту при одновременном снижении зависимости от ископаемого топлива. Паром на солнечной энергии является свидетельством инновационных подходов, применяемых во всем мире для использования солнечной энергии в различных транспортных модальностях.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"Lightyear One" - это работающий на солнечной энергии электромобиль, разработанный в Нидерландах, который привлек к себе значительное внимание своим инновационным дизайном и инженерией. Автомобиль оснащен встроенными солнечными панелями, которые могут генерировать достаточно энергии для питания автомобиля для ежедневных поездок, значительно увеличивая его запас хода без необходимости традиционной зарядки. Этот автомобиль является примером будущего транспорта, где солнечная энергия может играть решающую роль в создании более устойчивых и эффективных видов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Эти примеры из практики со всего мира демонстрируют успешную интеграцию солнечной энергии в транспортные системы. Они иллюстрируют потенциал сокращения выбросов парниковых газов, повышения энергоэффективности и продвижения устойчивых практик. Для Узбекистана использование этих глобальных примеров может </w:t>
      </w:r>
      <w:r w:rsidRPr="006F5789">
        <w:rPr>
          <w:rFonts w:ascii="Times New Roman" w:eastAsia="Microsoft YaHei" w:hAnsi="Times New Roman" w:cs="Times New Roman"/>
          <w:noProof/>
          <w:sz w:val="28"/>
          <w:szCs w:val="28"/>
        </w:rPr>
        <w:lastRenderedPageBreak/>
        <w:t>дать ценные идеи и стратегии для разработки собственных инициатив в области солнечной энергии в транспортном секторе.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потенциал интеграции солнечной энергии в транспортный сектор Узбекистана огромен благодаря благоприятному климату и географическим условиям. Используя передовые технологии, такие как фотоэлектрические системы, и извлекая уроки из успешных глобальных исследований, Узбекистан может значительно улучшить свою транспортную инфраструктуру, одновременно способствуя экологической устойчивости и экономическому развитию. Путь вперед включает сотрудничество между правительством, частным сектором и сообществами для создания более чистого, зеленого и устойчивого транспортного будущего.</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ветроэнергетики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расположен в Центральной Азии и наделен разнообразными природными ресурсами, включая значительный потенциал ветроэнергетики. Страна имеет разнообразный климат, характеризующийся жарким летом и холодной зимой, что влияет на ветровые режимы в регионах. Согласно различным исследованиям, в том числе проведенным Программой развития Организации Объединенных Наций (ПРООН), Узбекистан имеет предполагаемый потенциал ветроэнергетики около 1250 гигаватт (ГВт), при этом в определенных регионах наблюдаются более высокие скорости ветра, подходящие для выработки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Такие регионы, как Бухарская и Самаркандская области, а также западная часть страны около Аральского моря, были определены как имеющие один из самых высоких потенциалов ветровой энергии из-за их географических и климатических условий. Например, данные показывают, что средняя скорость ветра в этих регионах может достигать от 6 до 9 метров в секунду (м/с), что считается идеальным для генерации ветровой энергии. Скорость ветра является критическим фактором, поскольку количество энергии, вырабатываемой ветровой турбиной, увеличивается экспоненциально со скоростью ветра.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оценке мощности производства энергии ветровых ресурсов важно учитывать коэффициент мощности, который представляет собой отношение фактической мощности за период к потенциальной мощности, если бы турбина работала на полную мощность все время. Для ветровых турбин коэффициенты мощности обычно составляют от 30% до 45%. Учитывая благоприятные ветровые условия Узбекистана, разумно предположить, что ветровые электростанции могли бы достичь коэффициента мощности в этом диапазоне, что привело бы к значительной выработке электроэнергии.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правительство Узбекистана признало необходимость диверсификации своего энергетического портфеля и снижения зависимости от ископаемого топлива. Это стратегическое направление соответствует мировым тенденциям в отношении внедрения возобновляемых источников энергии и необходимости решения проблемы изменения климата. Поэтому интеграция ветроэнергетики в транспортные сети Узбекистана может сыграть решающую роль в достижении энергетической независимости и устойчивости.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Для эффективного использования энергии ветра для транспорта важно рассмотреть типы технологий ветровых турбин, которые могут быть развернуты. Существует два основных типа ветровых турбин: ветровые турбины с горизонтальной осью (HAWT) и ветровые турбины с вертикальной осью (VAWT). Каждый тип имеет свои уникальные преимущества и недостатки, что делает их подходящими для различных применений.</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Ветровые турбины с горизонтальной осью вращения (HAWT) </w:t>
      </w:r>
      <w:r w:rsidRPr="006F5789">
        <w:rPr>
          <w:rFonts w:ascii="Times New Roman" w:eastAsia="Microsoft YaHei" w:hAnsi="Times New Roman" w:cs="Times New Roman"/>
          <w:noProof/>
          <w:sz w:val="28"/>
          <w:szCs w:val="28"/>
        </w:rPr>
        <w:t>: это наиболее распространенный тип ветровых турбин, характеризующийся тремя лопастями, установленными на горизонтальном роторе. HAWT обычно используются в крупных ветровых электростанциях из-за их высокой эффективности и выходной мощности. Они могут вырабатывать электроэнергию, которая может напрямую подаваться на зарядные станции для электромобилей или использоваться для питания электрических общественных транспортных средств, таких как трамваи и автобусы. Чем больше диаметр ротора, тем больше энергии ветра можно уловить. Однако для их установки требуется значительная площадь земли, и обычно они размещаются на открытых полях или в прибрежных районах, где скорость ветра постоянно высока.</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Вертикально-осевые ветровые турбины (VAWT) </w:t>
      </w:r>
      <w:r w:rsidRPr="006F5789">
        <w:rPr>
          <w:rFonts w:ascii="Times New Roman" w:eastAsia="Microsoft YaHei" w:hAnsi="Times New Roman" w:cs="Times New Roman"/>
          <w:noProof/>
          <w:sz w:val="28"/>
          <w:szCs w:val="28"/>
        </w:rPr>
        <w:t>: VAWT имеют лопасти, ориентированные вертикально, и могут захватывать ветер с любого направления. Это делает их особенно выгодными в городских условиях, где ветровые условия могут быть турбулентными или непостоянными. Например, Darrieus и Savonius являются популярными конструкциями VAWT. Турбины Darrieus имеют изогнутую конструкцию лопастей, что позволяет эффективно захватывать энергию при более низких скоростях ветра, в то время как турбины Savonius проще и могут использоваться для небольших приложений. Эти турбины можно устанавливать на крышах или интегрировать в транспортную инфраструктуру, такую как автобусные остановки или зарядные станции, тем самым сводя к минимуму потребность в обширной земле, при этом по-прежнему обеспечивая возобновляемую энергию.</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Малые ветровые турбины </w:t>
      </w:r>
      <w:r w:rsidRPr="006F5789">
        <w:rPr>
          <w:rFonts w:ascii="Times New Roman" w:eastAsia="Microsoft YaHei" w:hAnsi="Times New Roman" w:cs="Times New Roman"/>
          <w:noProof/>
          <w:sz w:val="28"/>
          <w:szCs w:val="28"/>
        </w:rPr>
        <w:t>: в дополнение к HAWT и VAWT, малые ветровые турбины могут использоваться для питания определенных транспортных приложений. Эти турбины, как правило, предназначены для выработки электроэнергии в жилых или небольших коммерческих помещениях. Например, их можно использовать для питания электрических зарядных станций для велосипедов, скутеров или электромобилей в городских районах. Интеграция малых ветровых турбин в транспортную сеть может повысить доступность возобновляемой энергии, одновременно способствуя развитию устойчивых вариантов путешествий.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этих технологий ветровых турбин в транспортную сеть Узбекистана — это не просто теоретическая концепция. В настоящее время реализуется несколько пилотных проектов и инициатив по изучению возможности использования энергии ветра в городском транспорте. Например, внедрение ветровых зарядных станций для электромобилей в ключевых городах может значительно сократить углеродный след городских транспортных систем.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Изучение успешного внедрения решений в области ветроэнергетики в транспортной инфраструктуре в других регионах может дать ценную информацию для Узбекистана.</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Дания </w:t>
      </w:r>
      <w:r w:rsidRPr="006F5789">
        <w:rPr>
          <w:rFonts w:ascii="Times New Roman" w:eastAsia="Microsoft YaHei" w:hAnsi="Times New Roman" w:cs="Times New Roman"/>
          <w:noProof/>
          <w:sz w:val="28"/>
          <w:szCs w:val="28"/>
        </w:rPr>
        <w:t>: Дания является одним из лидеров в использовании энергии ветра, более 40% потребляемой ею электроэнергии приходится на энергию ветра. Страна успешно интегрировала энергию ветра в свою систему общественного транспорта, используя электропоезда, работающие на энергии ветра. Датская железнодорожная компания инвестировала в ветровые электростанции, которые производят достаточно электроэнергии для питания ее поездов, что значительно сокращает выбросы парниковых газов. Эта модель демонстрирует, как энергия ветра может быть эффективно использована для транспорта, что является убедительным аргументом для Узбекистана в пользу рассмотрения аналогичных стратегий.</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Германия </w:t>
      </w:r>
      <w:r w:rsidRPr="006F5789">
        <w:rPr>
          <w:rFonts w:ascii="Times New Roman" w:eastAsia="Microsoft YaHei" w:hAnsi="Times New Roman" w:cs="Times New Roman"/>
          <w:noProof/>
          <w:sz w:val="28"/>
          <w:szCs w:val="28"/>
        </w:rPr>
        <w:t>: В Германии использование энергии ветра в транспорте также было заметным, особенно в контексте электрической мобильности. Страна разработала сеть ветровых зарядных станций для электромобилей, которые часто расположены в районах с интенсивным движением. Эти станции работают исключительно на энергии ветра, что обеспечивает устойчивый и экологичный вариант зарядки для электромобилей. Немецкая модель подчеркивает важность развития инфраструктуры, которая не только зависит от традиционных источников электроэнергии, но и интегрирована с решениями в области возобновляемой энергии.</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Соединенные Штаты </w:t>
      </w:r>
      <w:r w:rsidRPr="006F5789">
        <w:rPr>
          <w:rFonts w:ascii="Times New Roman" w:eastAsia="Microsoft YaHei" w:hAnsi="Times New Roman" w:cs="Times New Roman"/>
          <w:noProof/>
          <w:sz w:val="28"/>
          <w:szCs w:val="28"/>
        </w:rPr>
        <w:t>: В Соединенных Штатах несколько городов начали изучать интеграцию ветроэнергетики в свои системы общественного транспорта. Например, в Сан-Диего, Калифорния, был инициирован проект по установке ветровых турбин на крышах станций общественного транспорта. Эти турбины генерируют энергию для питания станций и вносят вклад в энергетические потребности электрических автобусов, работающих в этом районе. Местное правительство подчеркнуло двойную выгоду от снижения затрат на энергию и продвижения чистой энергии в рамках своих инициатив по устойчивому развитию.</w:t>
      </w:r>
    </w:p>
    <w:p w:rsidR="00FF5C24" w:rsidRPr="006F5789" w:rsidRDefault="006F5789" w:rsidP="006F5789">
      <w:pPr>
        <w:numPr>
          <w:ilvl w:val="0"/>
          <w:numId w:val="2"/>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Китай </w:t>
      </w:r>
      <w:r w:rsidRPr="006F5789">
        <w:rPr>
          <w:rFonts w:ascii="Times New Roman" w:eastAsia="Microsoft YaHei" w:hAnsi="Times New Roman" w:cs="Times New Roman"/>
          <w:noProof/>
          <w:sz w:val="28"/>
          <w:szCs w:val="28"/>
        </w:rPr>
        <w:t>: Китай быстро расширяет свою инфраструктуру возобновляемой энергии, включая энергию ветра. Страна реализовала проекты, в которых ветровые электростанции стратегически расположены вблизи крупных транспортных узлов, таких как аэропорты и железнодорожные станции. Вырабатываемая электроэнергия затем используется для питания электробусов и зарядных станций. Этот комплексный подход привел к значительному сокращению загрязнения воздуха и выбросов парниковых газов в городских районах.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примеры иллюстрируют потенциал интеграции ветроэнергетики в транспортные системы и подчеркивают мировые тенденции в направлении внедрения возобновляемых источников энергии. Узбекистан может использовать эти успешные примеры для руководства собственной реализацией решений в области ветроэнергетики.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 заключение следует отметить, что интеграция ветроэнергетики в транспортные сети в Узбекистане имеет огромный потенциал. При благоприятных ветровых условиях, разнообразных технологиях турбин и успешных примерах из разных уголков мира Узбекистан может использовать ветроэнергетику для создания устойчивой транспортной системы. Этот переход касается не только повышения энергоэффективности; это также стратегический шаг к повышению энергетической безопасности, снижению воздействия на окружающую среду и содействию экономическому росту за счет создания зеленых рабочих мест и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продолжает изучать передовые решения в области зеленой энергетики, интеграция ветровой энергетики станет важнейшим компонентом усилий страны по достижению устойчивого будущего. Потенциальные выгоды выходят за рамки экологических соображений, поскольку этот сдвиг может привести к более устойчивой экономике и улучшению качества жизни граждан. Инвестируя в ветровую энергетику, Узбекистан может создать прецедент ответственного управления энергией и проложить путь к более экологичному, более устойчивому транспортному ландшафту.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системы и их синергия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энергетические системы все чаще признаются жизнеспособным подходом для удовлетворения растущих потребностей в энергии в различных секторах, включая транспорт. По своей сути гибридные системы объединяют несколько возобновляемых источников энергии — чаще всего солнца и ветра — для создания более надежного и эффективного метода производства энергии. Объединяя эти два мощных источника энергии, гибридные системы могут оптимизировать выработку электроэнергии на основе мощности и доступности каждого ресурса.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Солнечная энергия использует силу солнечного света с помощью фотоэлектрических (PV) панелей, преобразуя солнечный свет непосредственно в электричество. Это особенно эффективно в регионах с обильным солнечным светом, таких как Узбекистан, где солнечная радиация высока из-за его географического положения. С другой стороны, ветровая энергия улавливает кинетическую энергию ветра через турбины, преобразуя ее в электрическую энергию. Эффективность ветровой энергии во многом зависит от местных ветровых моделей, которые могут сильно различаться в зависимости от географических особенностей местности.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Синергия между этими двумя системами возникает из-за их взаимодополняющей природы. Солнечная энергия обычно достигает пика днем, когда солнечного света много, в то время как энергия ветра может быть более изменчивой, часто достигая пика ночью или ранним утром. Интегрируя обе системы, гибридные энергетические решения могут обеспечить более стабильное и надежное электроснабжение. Это имеет решающее значение для транспортного сектора, которому требуется стабильный и надежный источник энергии для питания электромобилей, зарядных станций и соответствующей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На практике гибридные системы часто используют передовые системы управления энергией для контроля и оптимизации генерации и потребления энергии как из солнечных, так и из ветровых источников. Эти системы могут динамически регулировать распределение электроэнергии на основе данных в реальном времени о производстве и потреблении энергии, гарантируя, что энергоснабжение остается стабильным и эффективным. Более того, решения для хранения энергии, такие как батареи, могут быть интегрированы в эти гибридные системы для хранения избыточной энергии, вырабатываемой в пиковые периоды производства, делая ее доступной для использования в периоды низкой генерации. Это гарантирует, что транспортная сеть может поддерживать постоянное энергоснабжение даже во время колебаний доступности солнечной и ветровой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основных преимуществ гибридных систем в контексте электротранспорта является их способность эффективно удовлетворять меняющиеся потребности в энергии. Транспортный сектор характеризуется меняющимися потребностями в энергии, на которые влияют такие факторы, как схемы движения, погодные условия и время суток. Например, в часы пик для поездок на работу спрос на зарядные станции может резко возрасти, что потребует надежного энергоснабжения для удовлетворения притока электромобилей. И наоборот, в непиковые часы спрос на энергию может значительно снизиться.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энергетические системы особенно искусны в решении этих колебаний. Используя как солнечную, так и ветровую энергию, они могут максимизировать выработку энергии в течение дня и ночи. Например, в солнечные дни солнечные панели могут генерировать значительные объемы энергии, которые могут быть направлены на зарядные станции для электромобилей. Когда солнце садится и производство солнечной энергии снижается, ветряные турбины могут взять на себя эту функцию, поставляя энергию по мере изменения ветровых режимов — часто ночью, когда спрос на зарядку может все еще сохраняться. Этот плавный переход между источниками энергии гарантирует, что электромобили могут заряжаться постоянно, независимо от времени или погодных условий.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гибридные системы могут играть решающую роль в стабилизации сети. Интеграция возобновляемых источников энергии часто вносит изменчивость и непредсказуемость в энергоснабжение. Однако, объединяя солнечную и ветровую энергию, гибридные системы могут создавать более сбалансированную и надежную выходную мощность. Это не только приносит пользу транспортным сетям, но и способствует общей стабильности энергетической сети, снижая риск отключений или колебаний, которые могут нарушить зарядку электромобиля.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Другим существенным преимуществом гибридных систем является их потенциал для экономии затрат. Используя местные возобновляемые ресурсы, Узбекистан может снизить свою зависимость от импортируемого ископаемого топлива, которое часто подвержено нестабильным рыночным ценам. Этот переход к гибридным системам может привести к снижению эксплуатационных расходов в долгосрочной перспективе, </w:t>
      </w:r>
      <w:r w:rsidRPr="006F5789">
        <w:rPr>
          <w:rFonts w:ascii="Times New Roman" w:eastAsia="Microsoft YaHei" w:hAnsi="Times New Roman" w:cs="Times New Roman"/>
          <w:noProof/>
          <w:sz w:val="28"/>
          <w:szCs w:val="28"/>
        </w:rPr>
        <w:lastRenderedPageBreak/>
        <w:t>поскольку возобновляемые источники энергии, как правило, имеют более низкие предельные издержки после того, как сделаны первоначальные инвестиции в инфраструктуру. Кроме того, по мере развития технологий и снижения стоимости солнечных панелей и ветряных турбин экономическая целесообразность гибридных систем будет только улучшаться.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гибридные системы также могут повысить энергетическую независимость. Для таких стран, как Узбекистан, которые стремятся диверсифицировать свои энергетические портфели и снизить зависимость от ископаемого топлива, интеграция гибридных систем может стать стратегическим шагом. Используя богатые солнечные и ветровые ресурсы страны, Узбекистан может укрепить свою энергетическую безопасность и самодостаточность, гарантируя, что его транспортные сети будут питаться от внутренних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Несколько успешных тематических исследований по всему миру подчеркивают эффективность гибридных систем в транспорте, демонстрируя их потенциал для революционного изменения потребления энергии в этом секторе. Одним из ярких примеров является гибридная система возобновляемой энергии, внедренная в городе Гамбург, Германия. Эта система объединяет энергию ветра и солнца для питания электрических автобусов, что значительно сокращает углеродный след города. Проект использует солнечные панели, установленные на автобусных станциях, и ветряные турбины, стратегически расположенные по всему городу. Днем солнечные панели заряжают автобусы напрямую, а избыток энергии хранится в аккумуляторах для использования в ночное время. Этот случай демонстрирует, как гибридные системы могут эффективно питать общественный транспорт, сводя к минимуму воздействие на окружающую среду.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Другой убедительный пример можно найти в Соединенных Штатах, где несколько штатов начали внедрять гибридные энергетические системы для зарядных станций электромобилей. Например, в Калифорнии была создана сеть зарядных станций, работающих как на солнечной, так и на ветровой энергии. Эти станции оснащены возможностями хранения энергии в аккумуляторных батареях, чтобы обеспечить стабильную подачу энергии, даже когда выработка возобновляемой энергии низкая. Интеграция гибридных систем в инфраструктуру зарядки не только повысила энергоэффективность, но и улучшила общий пользовательский опыт, поскольку владельцы электромобилей могут заряжать свои автомобили с уверенностью, зная, что энергия поступает из возобновляемых источников.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Австралии новаторский проект в городе Аделаида демонстрирует потенциал гибридных систем для электробусных парков. Город развернул парк электробусов, работающих на сочетании солнечной энергии с панелей на крыше и энергии ветра, вырабатываемой близлежащими ветряными электростанциями. Проект значительно сократил выбросы парниковых газов от общественного транспорта и создал прецедент для других городов, стремящихся перейти на электрический общественный транспорт. </w:t>
      </w:r>
      <w:r w:rsidRPr="006F5789">
        <w:rPr>
          <w:rFonts w:ascii="Times New Roman" w:eastAsia="Microsoft YaHei" w:hAnsi="Times New Roman" w:cs="Times New Roman"/>
          <w:noProof/>
          <w:sz w:val="28"/>
          <w:szCs w:val="28"/>
        </w:rPr>
        <w:lastRenderedPageBreak/>
        <w:t>Успех этого проекта иллюстрирует практичность гибридных систем в удовлетворении энергетических потребностей городских транспортных сетей.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в Индии внедрение гибридных систем в сельском транспорте имело значительный успех. Во многих сельских районах отсутствует стабильный доступ к электричеству, что затрудняет питание электромобилей. В ответ на это были развернуты гибридные системы, объединяющие солнечную и ветровую энергию, чтобы обеспечить надежные решения для зарядки электрических рикш и других видов общественного транспорта. Эти системы не только гарантируют, что электромобили могут эффективно работать в районах с ограниченным доступом к сети, но и способствуют использованию чистой энергии в сообществах, которые в противном случае могли бы полагаться на транспортные средства, работающие на ископаемом топливе.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интеграция гибридных энергетических систем, объединяющих солнечную и ветровую энергию, представляет собой преобразующую возможность для транспортного сектора Узбекистана. Четко определяя эти системы, обсуждая их преимущества и изучая успешные примеры, становится очевидным, что гибридные системы могут эффективно удовлетворять меняющиеся потребности в энергии электротранспорта. Синергия, создаваемая путем объединения солнечной и ветровой энергии, не только повышает надежность энергии, но и способствует экономической независимости и экологической устойчивости. Поскольку Узбекистан стремится продвигать свои инициативы в области зеленой энергии, принятие гибридных систем станет важным шагом на пути к более устойчивому и надежному будущему транспорта.</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Зарядные станции и их особенности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Дизайн и инфраструктура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на электротранспорт в Узбекистане является важнейшим шагом на пути к достижению экологической устойчивости и повышению общего качества жизни граждан. В основе этого перехода лежит создание надежной сети зарядных станций, которые не только эффективны, но и адаптированы к уникальным потребностям региона. В этом разделе будут рассмотрены физическое проектирование и технические характеристики зарядных станций, роль возобновляемых источников энергии в питании этих станций и проблемы, связанные с созданием необходимой инфраструктуры, а также предлагаемые решения.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Физическая конструкция зарядных станций является критически важным аспектом, который влияет на их функциональность, доступность и пользовательский опыт. В Узбекистане, где климат может значительно варьироваться от суровых зим до жаркого лета, конструкция должна учитывать эти крайности.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а. Типы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Существует три основных типа зарядных станций: уровня 1, уровня 2 и станции быстрой зарядки постоянным током.</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lastRenderedPageBreak/>
        <w:t xml:space="preserve">Зарядные станции уровня 1 </w:t>
      </w:r>
      <w:r w:rsidRPr="006F5789">
        <w:rPr>
          <w:rFonts w:ascii="Times New Roman" w:eastAsia="Microsoft YaHei" w:hAnsi="Times New Roman" w:cs="Times New Roman"/>
          <w:noProof/>
          <w:sz w:val="28"/>
          <w:szCs w:val="28"/>
        </w:rPr>
        <w:t>: они используют стандартную розетку на 120 вольт и подходят для домашнего использования. Однако их низкая скорость зарядки (около 5 миль в час) делает их менее практичными для общественной инфраструктуры.</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Зарядные станции уровня 2 </w:t>
      </w:r>
      <w:r w:rsidRPr="006F5789">
        <w:rPr>
          <w:rFonts w:ascii="Times New Roman" w:eastAsia="Microsoft YaHei" w:hAnsi="Times New Roman" w:cs="Times New Roman"/>
          <w:noProof/>
          <w:sz w:val="28"/>
          <w:szCs w:val="28"/>
        </w:rPr>
        <w:t>: они работают от напряжения 240 вольт и могут обеспечить запас хода около 25 миль в час, что делает их идеальными для городских условий и общественных мест, таких как парковки, торговые центры и деловые районы.</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Станции быстрой зарядки постоянного тока </w:t>
      </w:r>
      <w:r w:rsidRPr="006F5789">
        <w:rPr>
          <w:rFonts w:ascii="Times New Roman" w:eastAsia="Microsoft YaHei" w:hAnsi="Times New Roman" w:cs="Times New Roman"/>
          <w:noProof/>
          <w:sz w:val="28"/>
          <w:szCs w:val="28"/>
        </w:rPr>
        <w:t>: они могут зарядить электромобиль (EV) до 80% всего за 30 минут, что делает их незаменимыми для дальних поездок и дорожной инфраструктуры. Учитывая обширную географию Узбекистана, настоятельно рекомендуется развивать станции быстрой зарядки постоянного тока вдоль основных транспортных маршрутов.</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б) Конструктивные особенности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проектировании зарядных станций следует также учитывать удобные для пользователя функции, такие как:</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Доступность </w:t>
      </w:r>
      <w:r w:rsidRPr="006F5789">
        <w:rPr>
          <w:rFonts w:ascii="Times New Roman" w:eastAsia="Microsoft YaHei" w:hAnsi="Times New Roman" w:cs="Times New Roman"/>
          <w:noProof/>
          <w:sz w:val="28"/>
          <w:szCs w:val="28"/>
        </w:rPr>
        <w:t>: Станции должны быть легкодоступными и доступными для всех пользователей, включая людей с ограниченными возможностями. Понятные указатели и освещенные пути улучшат видимость, особенно в городских районах.</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Безопасность </w:t>
      </w:r>
      <w:r w:rsidRPr="006F5789">
        <w:rPr>
          <w:rFonts w:ascii="Times New Roman" w:eastAsia="Microsoft YaHei" w:hAnsi="Times New Roman" w:cs="Times New Roman"/>
          <w:noProof/>
          <w:sz w:val="28"/>
          <w:szCs w:val="28"/>
        </w:rPr>
        <w:t>: внедрение мер безопасности, таких как аварийные выключатели, надлежащее освещение и камеры наблюдения, обеспечит безопасность пользователей и их транспортных средств.</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Устойчивость </w:t>
      </w:r>
      <w:r w:rsidRPr="006F5789">
        <w:rPr>
          <w:rFonts w:ascii="Times New Roman" w:eastAsia="Microsoft YaHei" w:hAnsi="Times New Roman" w:cs="Times New Roman"/>
          <w:noProof/>
          <w:sz w:val="28"/>
          <w:szCs w:val="28"/>
        </w:rPr>
        <w:t>: внедрение зеленых крыш или солнечных панелей может способствовать достижению устойчивого развития и сокращению углеродного следа самих станций.</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 Технические характеристики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Технические характеристики зарядных станций должны соответствовать международным стандартам, а также отражать местные требования:</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Мощность зарядки </w:t>
      </w:r>
      <w:r w:rsidRPr="006F5789">
        <w:rPr>
          <w:rFonts w:ascii="Times New Roman" w:eastAsia="Microsoft YaHei" w:hAnsi="Times New Roman" w:cs="Times New Roman"/>
          <w:noProof/>
          <w:sz w:val="28"/>
          <w:szCs w:val="28"/>
        </w:rPr>
        <w:t>: станции должны быть способны обеспечивать различные уровни мощности: станции уровня 2 обеспечивают мощность от 7 до 22 кВт, а быстрые зарядные устройства постоянного тока — мощность от 50 кВт и более.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Связь </w:t>
      </w:r>
      <w:r w:rsidRPr="006F5789">
        <w:rPr>
          <w:rFonts w:ascii="Times New Roman" w:eastAsia="Microsoft YaHei" w:hAnsi="Times New Roman" w:cs="Times New Roman"/>
          <w:noProof/>
          <w:sz w:val="28"/>
          <w:szCs w:val="28"/>
        </w:rPr>
        <w:t>: внедрение интеллектуальной технологии, которая позволяет осуществлять удаленный мониторинг и управление, может повысить эффективность работы. Такие функции, как подключение к мобильному приложению для пользователей, чтобы находить доступные зарядные станции и контролировать их состояние зарядки, могут значительно улучшить пользовательский опыт.</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Платежные системы </w:t>
      </w:r>
      <w:r w:rsidRPr="006F5789">
        <w:rPr>
          <w:rFonts w:ascii="Times New Roman" w:eastAsia="Microsoft YaHei" w:hAnsi="Times New Roman" w:cs="Times New Roman"/>
          <w:noProof/>
          <w:sz w:val="28"/>
          <w:szCs w:val="28"/>
        </w:rPr>
        <w:t>: внедрение удобной для пользователя платежной системы, такой как бесконтактные платежи или интеграция с мобильным кошельком, побудит больше пользователей выбирать электромобили.</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Совместимость с электросетью </w:t>
      </w:r>
      <w:r w:rsidRPr="006F5789">
        <w:rPr>
          <w:rFonts w:ascii="Times New Roman" w:eastAsia="Microsoft YaHei" w:hAnsi="Times New Roman" w:cs="Times New Roman"/>
          <w:noProof/>
          <w:sz w:val="28"/>
          <w:szCs w:val="28"/>
        </w:rPr>
        <w:t>: станции должны быть совместимы с существующей электросетью Узбекистана и иметь возможность эффективно работать в часы пик и вне часов пик.</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proofErr w:type="gramStart"/>
      <w:r w:rsidRPr="006F5789">
        <w:rPr>
          <w:rFonts w:ascii="Times New Roman" w:eastAsia="Microsoft YaHei" w:hAnsi="Times New Roman" w:cs="Times New Roman"/>
          <w:noProof/>
          <w:sz w:val="28"/>
          <w:szCs w:val="28"/>
        </w:rPr>
        <w:t>Одним из наиболее существенных преимуществ станций зарядки электромобилей является их способность использовать возобновляемые источники энергии, тем самым еще больше сокращая углеродный след, связанный с электротранспортом.</w:t>
      </w:r>
      <w:proofErr w:type="gramEnd"/>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а) Использование солнечной энергии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наделен богатым потенциалом солнечной энергии благодаря своему географическому положению, получая около 320 солнечных дней в году. Интегрируя фотоэлектрические (PV) панели в конструкцию зарядных станций, эти объекты могут генерировать чистую энергию на месте. Это не только питает зарядные станции, но и может возвращать избыточную энергию в сеть, создавая устойчивый энергетический цикл.</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Солнечные навесы </w:t>
      </w:r>
      <w:r w:rsidRPr="006F5789">
        <w:rPr>
          <w:rFonts w:ascii="Times New Roman" w:eastAsia="Microsoft YaHei" w:hAnsi="Times New Roman" w:cs="Times New Roman"/>
          <w:noProof/>
          <w:sz w:val="28"/>
          <w:szCs w:val="28"/>
        </w:rPr>
        <w:t>: Установка солнечных навесов над зарядными станциями может обеспечить тень для припаркованных автомобилей, одновременно вырабатывая электроэнергию. Эта двойная функция может быть особенно привлекательной в городских районах, где пространство ограничено.</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Внесетевые решения </w:t>
      </w:r>
      <w:r w:rsidRPr="006F5789">
        <w:rPr>
          <w:rFonts w:ascii="Times New Roman" w:eastAsia="Microsoft YaHei" w:hAnsi="Times New Roman" w:cs="Times New Roman"/>
          <w:noProof/>
          <w:sz w:val="28"/>
          <w:szCs w:val="28"/>
        </w:rPr>
        <w:t>: для сельских районов, где электросеть может быть ненадежной или отсутствовать, солнечные зарядные станции могут предложить внесетевое решение. Эти станции могут работать независимо, гарантируя, что электромобили будут иметь доступ к зарядке даже в самых отдаленных местах.</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б) Интеграция ветроэнергетики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Ветровая энергия — еще один жизнеспособный возобновляемый источник для питания зарядных станций. Разнообразный рельеф Узбекистана обеспечивает несколько мест с благоприятными ветровыми условиями для установки турбин.</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Малые ветровые турбины </w:t>
      </w:r>
      <w:r w:rsidRPr="006F5789">
        <w:rPr>
          <w:rFonts w:ascii="Times New Roman" w:eastAsia="Microsoft YaHei" w:hAnsi="Times New Roman" w:cs="Times New Roman"/>
          <w:noProof/>
          <w:sz w:val="28"/>
          <w:szCs w:val="28"/>
        </w:rPr>
        <w:t>: использование малых ветровых турбин вместе с зарядными станциями может дополнять генерацию солнечной энергии, особенно в ветреные месяцы года. Этот гибридный подход может обеспечить более стабильное энергоснабжение.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Микросети возобновляемой энергии </w:t>
      </w:r>
      <w:r w:rsidRPr="006F5789">
        <w:rPr>
          <w:rFonts w:ascii="Times New Roman" w:eastAsia="Microsoft YaHei" w:hAnsi="Times New Roman" w:cs="Times New Roman"/>
          <w:noProof/>
          <w:sz w:val="28"/>
          <w:szCs w:val="28"/>
        </w:rPr>
        <w:t>: в районах с высоким ветровым потенциалом создание микросетей, объединяющих как ветровую, так и солнечную энергию, может создать самодостаточную энергетическую систему для зарядных станций, что еще больше способствует энергетической независимости.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 Гибридные решения</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Объединение солнечной и ветровой энергии может оптимизировать генерацию и использование энергии на зарядных станциях. Этот гибридный подход позволяет производить энергию в течение дня и ночи, а также в различных погодных условиях, тем самым повышая надежность.</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Системы хранения энергии </w:t>
      </w:r>
      <w:r w:rsidRPr="006F5789">
        <w:rPr>
          <w:rFonts w:ascii="Times New Roman" w:eastAsia="Microsoft YaHei" w:hAnsi="Times New Roman" w:cs="Times New Roman"/>
          <w:noProof/>
          <w:sz w:val="28"/>
          <w:szCs w:val="28"/>
        </w:rPr>
        <w:t>: Интеграция решений для хранения аккумуляторов может хранить избыточную энергию, вырабатываемую в часы пиковой выработки, делая ее доступной, когда спрос высок. Это может быть особенно полезно для станций быстрой зарядки постоянного тока, где спрос на энергию может резко возрасти.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Хотя перспектива создания сети зарядных станций в Узбекистане выглядит многообещающей, для успешной реализации проекта необходимо решить ряд проблем.</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а. Финансирование и инвестиции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самых существенных препятствий является обеспечение финансирования развития инфраструктуры. Первоначальные инвестиции в создание зарядных станций, особенно быстрых зарядных устройств постоянного тока, могут быть существенными.</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Государственно-частное партнерство </w:t>
      </w:r>
      <w:r w:rsidRPr="006F5789">
        <w:rPr>
          <w:rFonts w:ascii="Times New Roman" w:eastAsia="Microsoft YaHei" w:hAnsi="Times New Roman" w:cs="Times New Roman"/>
          <w:noProof/>
          <w:sz w:val="28"/>
          <w:szCs w:val="28"/>
        </w:rPr>
        <w:t>: поощрение сотрудничества между правительством и частным сектором может способствовать инвестициям. Такие инициативы, как налоговые льготы, гранты и субсидии, также могут привлечь частных инвесторов.</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lastRenderedPageBreak/>
        <w:t xml:space="preserve">Международное финансирование </w:t>
      </w:r>
      <w:r w:rsidRPr="006F5789">
        <w:rPr>
          <w:rFonts w:ascii="Times New Roman" w:eastAsia="Microsoft YaHei" w:hAnsi="Times New Roman" w:cs="Times New Roman"/>
          <w:noProof/>
          <w:sz w:val="28"/>
          <w:szCs w:val="28"/>
        </w:rPr>
        <w:t>: Узбекистан может обратиться за финансовой поддержкой к международным организациям и банкам развития, ориентированным на инициативы в области возобновляемых источников энергии. Эти организации часто предоставляют финансирование для проектов, которые соответствуют целям устойчивого развития.</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б) Развитие инфраструктуры в сельской местности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городские районы могут получить больше внимания в плане развития инфраструктуры по сравнению с сельскими районами. Это неравенство может привести к нехватке зарядных станций в менее населенных регионах, что будет препятствовать внедрению электромобилей.</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Мобильные зарядные станции </w:t>
      </w:r>
      <w:r w:rsidRPr="006F5789">
        <w:rPr>
          <w:rFonts w:ascii="Times New Roman" w:eastAsia="Microsoft YaHei" w:hAnsi="Times New Roman" w:cs="Times New Roman"/>
          <w:noProof/>
          <w:sz w:val="28"/>
          <w:szCs w:val="28"/>
        </w:rPr>
        <w:t>: разработка решений для мобильных зарядных станций может удовлетворить потребности сельских общин. Эти портативные устройства могут быть развернуты в районах с низкой инфраструктурой и могут питаться от возобновляемых источников.</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Взаимодействие с сообществом </w:t>
      </w:r>
      <w:r w:rsidRPr="006F5789">
        <w:rPr>
          <w:rFonts w:ascii="Times New Roman" w:eastAsia="Microsoft YaHei" w:hAnsi="Times New Roman" w:cs="Times New Roman"/>
          <w:noProof/>
          <w:sz w:val="28"/>
          <w:szCs w:val="28"/>
        </w:rPr>
        <w:t>: Вовлечение местных сообществ в процесс планирования и развития может гарантировать, что зарядные станции будут соответствовать конкретным потребностям сельского населения. Вклад сообщества может помочь определить оптимальные места и особенности для зарядных станций.</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 Общественная осведомленность и принятие</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Успех инфраструктуры электромобилей во многом зависит от общественной осведомленности и принятия. Многие потенциальные пользователи все еще могут иметь неправильные представления об электромобилях и требованиях к их зарядке.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Образовательные кампании </w:t>
      </w:r>
      <w:r w:rsidRPr="006F5789">
        <w:rPr>
          <w:rFonts w:ascii="Times New Roman" w:eastAsia="Microsoft YaHei" w:hAnsi="Times New Roman" w:cs="Times New Roman"/>
          <w:noProof/>
          <w:sz w:val="28"/>
          <w:szCs w:val="28"/>
        </w:rPr>
        <w:t>: проведение кампаний по повышению осведомленности общественности, которые информируют граждан о преимуществах электромобилей и доступности зарядных станций, может помочь развеять мифы и поощрить их принятие.</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Стимулы для первых пользователей </w:t>
      </w:r>
      <w:r w:rsidRPr="006F5789">
        <w:rPr>
          <w:rFonts w:ascii="Times New Roman" w:eastAsia="Microsoft YaHei" w:hAnsi="Times New Roman" w:cs="Times New Roman"/>
          <w:noProof/>
          <w:sz w:val="28"/>
          <w:szCs w:val="28"/>
        </w:rPr>
        <w:t>: предоставление стимулов, таких как скидки на зарядку или скидки при покупке электромобилей, может мотивировать людей перейти на электрический транспорт.</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г. Технические проблемы и обслуживание</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Технические аспекты зарядных станций, включая их обслуживание и надежность, представляют собой еще один набор проблем. Перебои в работе или неисправное </w:t>
      </w:r>
      <w:r w:rsidRPr="006F5789">
        <w:rPr>
          <w:rFonts w:ascii="Times New Roman" w:eastAsia="Microsoft YaHei" w:hAnsi="Times New Roman" w:cs="Times New Roman"/>
          <w:noProof/>
          <w:sz w:val="28"/>
          <w:szCs w:val="28"/>
        </w:rPr>
        <w:lastRenderedPageBreak/>
        <w:t>оборудование могут отпугнуть пользователей от использования зарядной инфраструктуры.</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Регулярные программы технического обслуживания </w:t>
      </w:r>
      <w:r w:rsidRPr="006F5789">
        <w:rPr>
          <w:rFonts w:ascii="Times New Roman" w:eastAsia="Microsoft YaHei" w:hAnsi="Times New Roman" w:cs="Times New Roman"/>
          <w:noProof/>
          <w:sz w:val="28"/>
          <w:szCs w:val="28"/>
        </w:rPr>
        <w:t>: установление графика планового технического обслуживания для зарядных станций может гарантировать их работоспособность. Это включает в себя регулярные проверки, обновления программного обеспечения и оперативный ремонт при необходимости.</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FF5C24" w:rsidP="006F5789">
      <w:pPr>
        <w:spacing w:after="0" w:line="288" w:lineRule="auto"/>
        <w:ind w:firstLineChars="200" w:firstLine="560"/>
        <w:rPr>
          <w:rFonts w:ascii="Times New Roman" w:hAnsi="Times New Roman" w:cs="Times New Roman"/>
          <w:sz w:val="28"/>
          <w:szCs w:val="28"/>
        </w:rPr>
      </w:pP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Системы удаленного мониторинга </w:t>
      </w:r>
      <w:r w:rsidRPr="006F5789">
        <w:rPr>
          <w:rFonts w:ascii="Times New Roman" w:eastAsia="Microsoft YaHei" w:hAnsi="Times New Roman" w:cs="Times New Roman"/>
          <w:noProof/>
          <w:sz w:val="28"/>
          <w:szCs w:val="28"/>
        </w:rPr>
        <w:t>: Внедрение технологии IoT для удаленного мониторинга может помочь выявить проблемы до того, как они станут серьезными. Данные в реальном времени можно анализировать для прогнозирования потребностей в обслуживании и оптимизации производительности станции.</w:t>
      </w:r>
    </w:p>
    <w:p w:rsidR="00FF5C24" w:rsidRPr="006F5789" w:rsidRDefault="006F5789" w:rsidP="006F5789">
      <w:pPr>
        <w:numPr>
          <w:ilvl w:val="0"/>
          <w:numId w:val="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дизайн и инфраструктура зарядных станций в Узбекистане имеют решающее значение для успеха сети электротранспорта. Сосредоточившись на удобных, доступных и устойчивых проектах, а также интегрируя возобновляемые источники энергии, Узбекистан может создать надежную и эффективную инфраструктуру зарядных станций. Однако решение проблем, связанных с финансированием, сельской инфраструктурой, осведомленностью общественности и технической надежностью, имеет важное значение для обеспечения широкого внедрения электромобилей. Благодаря продуманному планированию и реализации Узбекистан может позиционировать себя как лидера в области устойчивого транспорта, прокладывая путь к более зеленому и здоровому будущему для своих граждан.</w:t>
      </w:r>
    </w:p>
    <w:p w:rsidR="00FF5C24" w:rsidRPr="006F5789" w:rsidRDefault="00FF5C24" w:rsidP="006F5789">
      <w:pPr>
        <w:numPr>
          <w:ilvl w:val="0"/>
          <w:numId w:val="3"/>
        </w:numPr>
        <w:spacing w:after="0" w:line="288" w:lineRule="auto"/>
        <w:ind w:left="0" w:firstLine="0"/>
        <w:rPr>
          <w:rFonts w:ascii="Times New Roman" w:hAnsi="Times New Roman" w:cs="Times New Roman"/>
          <w:sz w:val="28"/>
          <w:szCs w:val="28"/>
        </w:rPr>
      </w:pP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Мобильная сеть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Мобильные зарядные станции представляют собой инновационный подход к решению растущей потребности в инфраструктуре электромобилей (EV), особенно в такой стране, как Узбекистан, где внедрение электромобилей все еще находится на начальной стадии. В отличие от традиционных стационарных зарядных станций, которые закреплены в одном месте, мобильные зарядные станции спроектированы так, чтобы их можно было перемещать, что позволяет размещать их в разных местах по мере необходимости. Такая гибкость имеет решающее значение в стране, где городские и сельские районы имеют существенно разные потребности в инфраструктуре и доступе к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Узбекистане транспортная сеть сталкивается с рядом проблем, включая зависимость от ископаемого топлива, ограниченную инфраструктуру зарядки и растущий спрос на более чистые альтернативы. Внедрение мобильных зарядных станций может сыграть решающую роль в переходе страны к более устойчивым источникам энергии. Эти станции могут быть стратегически размещены в районах с высоким спросом, таких как центры городов, популярные туристические маршруты и </w:t>
      </w:r>
      <w:r w:rsidRPr="006F5789">
        <w:rPr>
          <w:rFonts w:ascii="Times New Roman" w:eastAsia="Microsoft YaHei" w:hAnsi="Times New Roman" w:cs="Times New Roman"/>
          <w:noProof/>
          <w:sz w:val="28"/>
          <w:szCs w:val="28"/>
        </w:rPr>
        <w:lastRenderedPageBreak/>
        <w:t>мероприятия, чтобы гарантировать пользователям электромобилей надежный доступ к возможностям зарядки.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Мобильные зарядные станции также служат временным решением в регионах, где строительство постоянной инфраструктуры может быть экономически невыгодным или где спрос все еще неопределен. Например, во время фестивалей, спортивных мероприятий или других крупных мероприятий потребность в зарядных станциях может резко возрасти. Мобильные станции могут быстро адаптироваться для удовлетворения этого спроса без длительного процесса создания стационарной зарядной станции. Кроме того, их можно использовать в сельской местности, где плотность населения может не поддерживать постоянную зарядную инфраструктуру, тем самым способствуя принятию электромобилей за пределами городских центров.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поскольку Узбекистан продолжает развивать свой рынок электромобилей, мобильные зарядные станции могут стать мостом для соединения различных сообществ с преимуществами чистого энергетического транспорта. Обеспечивая доступность решений для зарядки, правительство может поощрять граждан рассматривать электромобили как жизнеспособный вариант, помогая сократить выбросы парниковых газов и улучшить качество воздуха. Важность мобильных зарядных станций заключается не только в их практической пользе, но и в их потенциале способствовать культурному сдвигу в сторону устойчивого транспорта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Эффективное развертывание мобильных зарядных станций требует хорошо продуманной стратегии, которая учитывает уникальные характеристики как городской, так и сельской среды в Узбекистане. Стратегии развертывания могут существенно различаться в зависимости от плотности населения, характера поездок и существующей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Стратегии городского развертывания: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городских районах, где плотность транспортных средств высока, а расстояния поездок часто короче, размещение мобильных зарядных станций может быть согласовано с общественными мероприятиями, зонами с интенсивным движением и деловыми районами. Одной из эффективных стратегий было бы использование аналитики данных для определения точек использования электромобилей и потенциального спроса. Например, во время крупных общественных мероприятий или фестивалей мобильные зарядные станции могут быть размещены в стратегических местах, чтобы справиться с потоком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сотрудничество с местными предприятиями и муниципалитетами может облегчить развертывание мобильных зарядных станций. Местные предприятия могут выступать в качестве хозяев зарядных станций, предоставляя владельцам электромобилей возможность заряжать свои транспортные средства, пока они делают покупки или обедают, тем самым улучшая качество обслуживания клиентов. Это не только удовлетворяет непосредственную потребность в зарядке, но и способствует развитию местных предприятий за счет увеличения пешеходного трафика.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Другая городская стратегия может включать партнерство с агентствами общественного транспорта для включения мобильных зарядных станций в их работу. Автобусы или шаттлы, работающие на электричестве, могут быть оснащены мобильными зарядными решениями, которые позволят им подзаряжаться во время маршрутов, тем самым максимизируя эффективность и сокращая время простоя.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Стратегии развертывания в сельской местности: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сельской местности подход к развертыванию мобильных зарядных станций может существенно отличаться из-за меньшей плотности населения и менее развитой инфраструктуры. Здесь основное внимание следует уделять обеспечению доступа к зарядным станциям для удаленных сообществ. Это может включать в себя более ориентированную на сообщество стратегию развертывания. Местные органы власти или кооперативы могли бы сотрудничать с поставщиками энергии для установления графика посещений мобильных станций, гарантируя регулярное обслуживание сельских сообществ.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мобильные зарядные станции могут использоваться в сочетании с общественными мероприятиями или рынками, предоставляя услуги зарядки и привлекая посетителей. Это может помочь создать устойчивую экосистему, в которой электромобили интегрируются в повседневную жизнь в сельской местности. Кроме того, мобильные зарядные станции на солнечных батареях могут быть особенно полезны в этих регионах, используя местные возобновляемые источники энергии и минимизируя зависимость от сетевого электричества.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Другая эффективная стратегия для сельской местности может включать использование мобильных зарядных станций в рамках программы совместного использования поездок или каршеринга. Это может помочь снизить некоторые из расходов, связанных с владением электромобилем, сделав его более доступным для жителей сельской местности. Мобильные станции могут быть запланированы для посещения определенных мест на регулярной основе, что позволит пользователям соответствующим образом планировать свои потребности в зарядке.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Как в городских, так и в сельских условиях сбор данных в реальном времени может информировать о стратегическом развертывании мобильных зарядных станций. Анализируя модели использования и географический спрос, операторы могут принимать обоснованные решения о том, куда отправлять мобильные устройства, гарантируя, что они всегда будут в нужном месте в нужное время. Кроме того, обратная связь от пользователей может помочь в уточнении и улучшении стратегий развертывания, создавая отзывчивую и адаптивную сеть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 мере развития мобильных зарядных станций интеграция инновационных функций может значительно повысить их эффективность и пользовательский опыт. Две ключевые технологии, которые могут быть интегрированы в мобильные зарядные станции, — это технология «транспорт-сеть» (V2G) и отслеживание местоположения в реальном времени.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Технология «транспорт-сеть»: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Технология V2G позволяет электромобилям не только получать электроэнергию из сети, но и возвращать избыток энергии обратно в сеть при необходимости. Этот двунаправленный поток энергии может быть невероятно полезен для управления спросом и предложением энергии, особенно в периоды пикового потребления. В контексте мобильных зарядных станций технология V2G может оптимизировать потребление энергии, позволяя электромобилям служить временными накопителями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в периоды низкого спроса мобильные зарядные станции могут получать электроэнергию из сети или из возобновляемых источников для зарядки электромобилей. Когда спрос резко возрастает, эти транспортные средства могут затем разряжать свою накопленную энергию обратно в сеть, обеспечивая дополнительную поддержку. Эта технология не только повышает эффективность использования энергии, но и повышает стабильность сети, что особенно важно в такой стране, как Узбекистан, где электроснабжение может быть непостоянным.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внедрение технологии V2G может создать финансовые стимулы для владельцев электромобилей. Позволяя своим автомобилям возвращать энергию в сеть, пользователи могут потенциально зарабатывать кредиты или платежи, делая владение электромобилем более привлекательным и экономически выгодным.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Отслеживание местоположения в реальном времени: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Отслеживание местоположения в реальном времени — еще одна инновационная функция, которая может значительно улучшить функциональность мобильных зарядных станций. Оснастив эти станции возможностями GPS и мобильного приложения, пользователи могут легко найти ближайшую зарядную станцию и проверить ее доступность в реальном времени. Эта функция может уменьшить беспокойство по поводу расстояния, поскольку водители смогут более эффективно планировать свои маршруты, зная, где и когда они могут зарядить свои автомобили.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отслеживание в реальном времени также может помочь операторам в мониторинге моделей использования мобильных зарядных станций. Эти данные могут информировать о решениях о том, где размещать устройства, оптимизируя их местоположение на основе спроса пользователей и пиковых периодов использования. Кроме того, это может повысить общую эффективность зарядной сети, позволяя лучше распределять ресурсы и минимизировать время простоя.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если мобильная зарядная станция испытывает высокий спрос в определенном районе, операторы могут быстро отреагировать, развернув дополнительные блоки для удовлетворения этого спроса. И наоборот, если определенные места показывают минимальное использование, операторы могут соответствующим образом скорректировать свои стратегии развертывания, гарантируя, что ресурсы используются эффективно.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мобильные зарядные станции являются важнейшим компонентом перехода Узбекистана к устойчивой транспортной сети. Используя инновационные технологии, такие как системы «транспорт-сеть» и отслеживание местоположения в </w:t>
      </w:r>
      <w:r w:rsidRPr="006F5789">
        <w:rPr>
          <w:rFonts w:ascii="Times New Roman" w:eastAsia="Microsoft YaHei" w:hAnsi="Times New Roman" w:cs="Times New Roman"/>
          <w:noProof/>
          <w:sz w:val="28"/>
          <w:szCs w:val="28"/>
        </w:rPr>
        <w:lastRenderedPageBreak/>
        <w:t>реальном времени, эти станции могут предоставлять гибкие, эффективные и удобные для пользователя решения для зарядки. Поскольку страна продолжает развивать свой рынок электромобилей, роль мобильных зарядных станций будет только возрастать, помогая гарантировать, что все граждане, независимо от их местонахождения, имеют доступ к преимуществам электротранспорта. Будущее транспортной сети Узбекистана заключается в принятии этих передовых решений, прокладывающих путь к более чистому, более устойчивому энергетическому ландшафту.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Услуги, предоставляемые на каждой станции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Развитие зарядных станций для электромобилей (EV) знаменует собой кардинальную трансформацию в транспортной сфере, особенно в контексте перехода Узбекистана к более экологичным источникам энергии. По мере роста спроса на электромобили услуги, предоставляемые на зарядных станциях, становятся все более важными для обеспечения удовлетворенности пользователей, эффективности работы и экологических преимуществ. В этом разделе будут рассмотрены основные услуги, такие как быстрая зарядка, диагностика и обслуживание аккумуляторов, а также будут освещены дополнительные предложения, такие как доступ к Wi-Fi, варианты питания и напитков и образовательные программы для пользователей электромобилей. Кроме того, будет рассмотрено, как аналитика данных может улучшить общий опыт обслуживания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Быстрая зарядка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Быстрая зарядка — одна из важнейших услуг, предлагаемых на станциях зарядки электромобилей. В отличие от традиционных методов зарядки, которые могут занять несколько часов, быстрые зарядные устройства могут пополнить аккумулятор электромобиля в значительной степени за считанные минуты. Эта быстрая услуга необходима для пользователей, которые часто ограничены во времени, например, для тех, кто ездит на работу или в дальние поездки.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где инфраструктура для электромобилей все еще развивается, внедрение станций быстрой зарядки может значительно повысить привлекательность электромобилей. По данным Международного энергетического агентства (МЭА), быстрые зарядные устройства могут обеспечить до 80% заряда всего за 30 минут, что делает их идеальными для автомагистралей и городских районов, где время имеет решающее значение. Интеграция технологии быстрой зарядки также может способствовать снижению беспокойства о запасе хода, распространенного среди потенциальных покупателей электромобилей, которые беспокоятся о том, что аккумулятор разрядится до того, как они доберутся до места назначения.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Диагностика аккумулятора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Еще одной важной услугой является диагностика аккумулятора. Аккумуляторы электромобилей — это сложные системы, требующие регулярного мониторинга для обеспечения оптимальной производительности. Зарядные станции, оснащенные диагностическими инструментами, могут оценивать состояние аккумулятора и предоставлять пользователям ценную обратную связь. Эта диагностика может выявлять </w:t>
      </w:r>
      <w:r w:rsidRPr="006F5789">
        <w:rPr>
          <w:rFonts w:ascii="Times New Roman" w:eastAsia="Microsoft YaHei" w:hAnsi="Times New Roman" w:cs="Times New Roman"/>
          <w:noProof/>
          <w:sz w:val="28"/>
          <w:szCs w:val="28"/>
        </w:rPr>
        <w:lastRenderedPageBreak/>
        <w:t>такие проблемы, как снижение емкости, аномальная температура или неравномерность напряжения, что позволяет своевременно вмешиваться до того, как аккумулятор полностью выйдет из строя.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Внедрение диагностики аккумуляторов в зарядные станции обеспечивает пользователям душевное спокойствие. Согласно исследованию Министерства энергетики США, регулярные проверки состояния аккумуляторов могут продлить срок службы аккумуляторов электромобилей на 20–30%. Предлагая эту услугу, зарядные станции могут не только повысить удовлетворенность пользователей, но и способствовать внедрению устойчивых методов, продлевая срок службы аккумуляторов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Техническое обслуживание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Техническое обслуживание на зарядных станциях также имеет жизненно важное значение для обеспечения надежности инфраструктуры зарядки. Регулярные проверки технического обслуживания могут предотвратить поломки и продлить срок службы зарядного оборудования. Это включает в себя очистку разъемов, проверку электрических систем и обеспечение актуальности программного обеспечения. Например, хорошо обслуживаемая зарядная станция может работать с эффективностью более 95%, согласно исследованию, проведенному Институтом исследований в области электроэнергетики (EPRI).</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наличие персонала по техническому обслуживанию на месте может помочь решать проблемы по мере их возникновения, сокращая время простоя для пользователей. Этот проактивный подход не только улучшает пользовательский опыт, но и укрепляет доверие к зарядной инфраструктуре, побуждая больше людей переходить на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Wi-Fi-доступ</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цифровую эпоху предоставление доступа к Wi-Fi на зарядных станциях становится все более важной услугой. Пользователи часто проводят время на зарядных станциях в ожидании подзарядки своих транспортных средств, и предоставление бесплатного Wi-Fi может значительно улучшить их опыт. Такое подключение позволяет пользователям работать удаленно, оставаться на связи с семьей и друзьями или развлекаться во время ожидания.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предоставление Wi-Fi может облегчить интеграцию интеллектуальных технологий на зарядных станциях. Например, пользователи могут получить доступ к мобильному приложению, которое предоставляет обновления в режиме реального времени о состоянии зарядки, доступности станций и даже о близлежащих удобствах. Опрос, проведенный Pew Research Center, показал, что 77% американцев используют свои смартфоны во время ожидания услуг, что указывает на высокий спрос на подключение в таких условиях.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Выбор еды и напитков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Еще одна услуга, которая может значительно улучшить пользовательский опыт на зарядных станциях, — это наличие вариантов еды и напитков. Длительное время </w:t>
      </w:r>
      <w:r w:rsidRPr="006F5789">
        <w:rPr>
          <w:rFonts w:ascii="Times New Roman" w:eastAsia="Microsoft YaHei" w:hAnsi="Times New Roman" w:cs="Times New Roman"/>
          <w:noProof/>
          <w:sz w:val="28"/>
          <w:szCs w:val="28"/>
        </w:rPr>
        <w:lastRenderedPageBreak/>
        <w:t>ожидания можно сделать более приятным, предоставив кафе или торговые автоматы, предлагающие закуски и напитки. Это не только повышает удовлетворенность пользователей, но и может принести дополнительный доход операторам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регионах с интенсивным движением, например, в городских центрах или вдоль крупных автомагистралей, спрос на услуги общественного питания на зарядных станциях может быть значительным. По данным Национальной ассоциации ресторанов, почти 60% потребителей говорят, что они с большей вероятностью остановятся в месте, где есть варианты еды и напитков. Таким образом, интеграция таких услуг может сделать зарядные станции более привлекательными для пользователей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Образовательные программы по электромобилям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 мере того, как электромобили становятся все более популярными, растет потребность в образовании относительно их использования, преимуществ и обслуживания. Зарядные станции могут играть ключевую роль в этом отношении, предлагая образовательные программы или семинары. Они могут охватывать такие темы, как принцип работы электромобилей, преимущества перехода на электромобили и советы по увеличению срока службы аккумулятора.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Образовательные программы могут не только расширить возможности пользователей, но и способствовать формированию сообщества информированных потребителей. Согласно опросу Международного совета по чистому транспорту, 85% потенциальных покупателей электромобилей называют недостаток знаний препятствием к покупке. Устранив этот пробел на зарядных станциях, операторы могут помочь развеять мифы и побудить больше людей перейти на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современном мире, ориентированном на технологии, аналитика данных играет решающую роль в улучшении услуг на зарядных станциях. Используя данные, операторы могут повысить эффективность работы, оптимизировать пользовательский опыт и принимать обоснованные решения о будущих инвестициях.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Мониторинг и оптимизация использования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основных применений аналитики данных на зарядных станциях является мониторинг и оптимизация использования энергии. Используя датчики IoT и интеллектуальные сети, операторы могут собирать данные в реальном времени о моделях потребления энергии. Затем эти данные можно анализировать для определения пиковых периодов использования, что позволяет станциям соответствующим образом корректировать свои источники энергии. Например, в периоды высокого спроса станции могут переходить на энергию, хранящуюся из возобновляемых источников, тем самым снижая зависимость от сети и минимизируя затраты.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Исследование Института Роки Маунтин показало, что оптимизация использования энергии на зарядных станциях может привести к экономии затрат до 20%. Эти сэкономленные средства затем можно реинвестировать в дальнейшее улучшение услуг, создавая положительный цикл обратной связи для улучшения.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Анализ поведения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Аналитика данных также может предоставить информацию о поведении и предпочтениях пользователей. Отслеживая взаимодействие пользователей с зарядными станциями, операторы могут собирать информацию о пиковых периодах использования, средней продолжительности зарядки и часто запрашиваемых услугах. Эта информация может помочь в принятии решений о предлагаемых услугах, распределении персонала и даже о расположении зарядных станций.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если данные показывают, что пользователи часто запрашивают быструю зарядку во время утренних поездок на работу, операторы могут отдать приоритет установке дополнительных быстрых зарядных станций в эти часы. Такая реакция на поведение пользователя может значительно улучшить общий опыт и уровень удовлетворенности среди пользователей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Прогностическое обслуживание и надежность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Прогностическое обслуживание — еще одна область, где аналитика данных может играть преобразующую роль. Анализируя исторические данные о производительности зарядных станций, операторы могут предсказать, когда потребуется обслуживание. Этот проактивный подход может помочь избежать неожиданных поломок и сократить время простоя, что в конечном итоге приведет к повышению надежности инфраструктуры зарядки.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Согласно отчету McKinsey, предиктивное обслуживание может сократить расходы на обслуживание на 10–40% и повысить надежность оборудования до 50%. Внедряя такие практики, зарядные станции могут гарантировать, что они останутся работоспособными и смогут удовлетворить спрос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Услуги, предоставляемые на станциях зарядки электромобилей, имеют решающее значение для успешного перехода на экологически чистый транспорт в Узбекистане. От основных услуг, таких как быстрая зарядка и диагностика аккумулятора, до дополнительных предложений, таких как доступ к Wi-Fi и варианты питания, эти услуги могут значительно повысить удовлетворенность пользователей и способствовать широкому внедрению электромобилей. Более того, интеграция аналитики данных играет важную роль в оптимизации операций и улучшении пользовательского опыта.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продолжает развивать свою инфраструктуру электромобилей, особое внимание будет уделяться качеству и разнообразию услуг на зарядных станциях. Отдавая приоритет потребностям пользователей и используя технологии для улучшения предлагаемых услуг, Узбекистан может проложить путь к устойчивой и эффективной сети электротранспорта, которая принесет пользу как окружающей среде, так и его сообществам.</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Анализ воздействия на окружающую среду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Сокращение выбросов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Поскольку мир все чаще сталкивается с ужасающими последствиями изменения климата, необходимость сокращения выбросов парниковых газов (ПГ) никогда не была более срочной. Одним из наиболее значительных источников выбросов ПГ является транспортный сектор, который в значительной степени зависит от ископаемого </w:t>
      </w:r>
      <w:r w:rsidRPr="006F5789">
        <w:rPr>
          <w:rFonts w:ascii="Times New Roman" w:eastAsia="Microsoft YaHei" w:hAnsi="Times New Roman" w:cs="Times New Roman"/>
          <w:noProof/>
          <w:sz w:val="28"/>
          <w:szCs w:val="28"/>
        </w:rPr>
        <w:lastRenderedPageBreak/>
        <w:t>топлива, такого как бензин и дизельное топливо. В Узбекистане, где быстрая урбанизация и экономический рост обуславливают более высокий спрос на транспорт, переход на электрические транспортные системы представляет собой критически важную возможность для смягчения этих выбросов. В этом разделе рассматривается, как внедрение электромобилей (ЭМ) может привести к существенному сокращению выбросов ПГ, сравниваются данные о выбросах между традиционными транспортными средствами, работающими на ископаемом топливе, и системами, работающими на возобновляемых источниках энергии, а также обсуждаются долгосрочные последствия этих изменений для усилий по смягчению последствий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Электромобили становятся все более популярными, поскольку все больше стран и регионов инвестируют в экологически чистые решения для транспортировки энергии. Переход от традиционных бензиновых или дизельных транспортных средств к электромобилям может привести к значительному сокращению выбросов парниковых газов. По данным Международного энергетического агентства (МЭА), электромобили могут сократить выбросы парниковых газов до 70% по сравнению с транспортными средствами с двигателем внутреннего сгорания, в зависимости от источников энергии, используемых для выработки электроэнергии. Например, если электроэнергия поступает из возобновляемых источников, таких как энергия ветра, солнца или гидроэлектроэнергия, выбросы могут быть практически нулевыми.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где энергетический баланс переходит на более чистые источники, потенциал сокращения выбросов парниковых газов значителен. Данные Всемирного банка показывают, что транспортный сектор в Узбекистане внес около 12% от общего объема выбросов парниковых газов в стране в 2019 году. Внедряя электромобили и интегрируя их в сеть возобновляемой энергии, Узбекистан потенциально может существенно сократить эти выбросы.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Чтобы проиллюстрировать это, давайте рассмотрим гипотетический сценарий, включающий замену 100 000 автомобилей с бензиновым двигателем на электромобили. Средний бензиновый автомобиль выбрасывает около 4,6 метрических тонн углекислого газа (CO2) в год. Если умножить это на количество автомобилей, общие годовые выбросы от этих бензиновых автомобилей составят около 460 000 метрических тонн CO2. Напротив, электромобиль, использующий электричество из возобновляемых источников, может выбрасывать всего около 0,5 метрических тонн CO2 в год из-за косвенных выбросов, связанных с выработкой электроэнергии, которые также могут со временем уменьшаться по мере добавления в сеть большего количества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Если предположить, что все 100 000 транспортных средств были бы переведены на электротягу, то общий годовой объем выбросов составил бы всего 50 000 метрических тонн CO2, что привело бы к впечатляющему сокращению на 410 000 метрических тонн CO2 в год. Эта количественная оценка наглядно демонстрирует значительный потенциал сокращения выбросов парниковых газов за счет внедрения электротранспорта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Чтобы полностью понять влияние электротранспорта на выбросы парниковых газов, необходимо сравнить данные о выбросах между традиционными транспортными средствами, работающими на ископаемом топливе, и транспортными средствами, работающими на возобновляемых источниках энергии. Традиционные транспортные средства, работающие на бензине или дизельном топливе, выбрасывают не только CO2, но и другие вредные загрязняющие вещества, включая оксиды азота (NOx), твердые частицы (PM) и летучие органические соединения (VOC). Эти выбросы способствуют не только изменению климата, но и серьезным проблемам со здоровьем, таким как респираторные заболевания и сердечно-сосудистые проблемы.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Исследование, проведенное Агентством по охране окружающей среды США (EPA), показало, что в 2018 году транспортный сектор отвечал за около 29% от общего объема выбросов парниковых газов в Соединенных Штатах. Напротив, электромобили, в зависимости от источника энергии, могут значительно снизить эти показатели. Например, электромобили, заряженные возобновляемыми источниками энергии, такими как ветер или солнце, могут сократить выбросы почти до нулевого уровня.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ситуация несколько похожа. Текущие выбросы от бензиновых и дизельных транспортных средств вносят значительный вклад в проблему загрязнения воздуха в городских районах. По данным Агентства по охране окружающей среды Узбекистана, загрязнение воздуха в крупных городах достигло тревожных уровней, что приводит к кризисам в области общественного здравоохранения. Перейдя на электромобили и интегрировав их в инфраструктуру возобновляемой энергии, страна может не только сократить выбросы парниковых газов, но и улучшить результаты общественного здравоохранения.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сравнении данных по выбросам важно учитывать выбросы за жизненный цикл транспортных средств. Производство, эксплуатация и утилизация транспортных средств вносят свой вклад в их общее воздействие на окружающую среду. Хотя электромобили могут иметь более высокие выбросы во время производства, особенно из-за производства аккумуляторов, их эксплуатационные выбросы значительно ниже в течение срока службы по сравнению с традиционными транспортными средствами. Отчет Союза обеспокоенных ученых показывает, что даже при учете производственных выбросов электромобили по-прежнему производят меньше выбросов в течение срока службы, чем обычные транспортные средства.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сравнение данных по выбросам между традиционными и возобновляемыми транспортными системами подчеркивает явные преимущества электромобилей в сокращении выбросов парниковых газов. Поскольку Узбекистан продолжает развивать свою транспортную инфраструктуру, внедрение электромобилей может сыграть жизненно важную роль в достижении значительного сокращения выбросов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Долгосрочные эффекты перехода на электротранспортные системы в Узбекистане будут значительными не только с точки зрения сокращения выбросов парниковых газов, но и с точки зрения содействия глобальным усилиям по смягчению последствий </w:t>
      </w:r>
      <w:r w:rsidRPr="006F5789">
        <w:rPr>
          <w:rFonts w:ascii="Times New Roman" w:eastAsia="Microsoft YaHei" w:hAnsi="Times New Roman" w:cs="Times New Roman"/>
          <w:noProof/>
          <w:sz w:val="28"/>
          <w:szCs w:val="28"/>
        </w:rPr>
        <w:lastRenderedPageBreak/>
        <w:t>изменения климата. По мере обострения климатического кризиса страны по всему миру начинают осознавать важность сокращения выбросов парниковых газов для выполнения международных климатических соглашений, таких как Парижское соглашение. Взяв на себя обязательства по решениям в области электротранспорта, Узбекистан может присоединиться к глобальным усилиям по ограничению повышения температуры и смягчению последствий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наиболее значимых долгосрочных эффектов сокращения выбросов парниковых газов за счет электротранспорта является возможность значительного снижения концентрации парниковых газов в атмосфере. Поскольку транспортный сектор является основным источником глобальных выбросов, переход на электромобили может помочь стабилизировать климат за счет сокращения общего углеродного следа. Если такие страны, как Узбекистан, примут электротранспорт, это может стать примером для других стран региона и внести вклад в коллективные усилия по борьбе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переход на электротранспорт может создать волновой эффект в других секторах, что приведет к более широким экологическим выгодам. Например, по мере увеличения спроса на электромобили будет соответственно увеличиваться потребность в производстве возобновляемой энергии. Это может стимулировать инвестиции в солнечные, ветровые и другие чистые энергетические технологии, еще больше сокращая выбросы от производства электроэнергии. Чем больше возобновляемой энергии будет интегрировано в сеть, тем ниже будут общие выбросы от электромобилей, создавая положительную обратную связь, которая усиливает усилия по смягчению последствий изменения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сокращение выбросов парниковых газов за счет электротранспорта может также привести к улучшению качества воздуха, что имеет прямые выгоды для общественного здравоохранения. Более здоровое население способствует повышению производительности и снижению расходов на здравоохранение, позволяя правительствам более эффективно распределять ресурсы. Более здоровая рабочая сила имеет важное значение для устойчивого экономического роста, создавая добродетельный цикл, который приносит пользу обществу в целом.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долгосрочной перспективе переход на электротранспорт может повысить энергетическую безопасность. Снижая зависимость от импортируемого ископаемого топлива, Узбекистан может стабилизировать свое энергоснабжение и защитить себя от колебаний мировых цен на нефть. Эта независимость может иметь решающее значение для экономической стабильности и устойчивости перед лицом изменений на мировом рынке.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переход на электротранспорт в Узбекистане может привести к значительному сокращению выбросов парниковых газов, улучшению состояния окружающей среды и здоровья населения, а также способствовать глобальным усилиям по смягчению последствий изменения климата. Внедряя электромобили, работающие на возобновляемых источниках энергии, Узбекистан </w:t>
      </w:r>
      <w:r w:rsidRPr="006F5789">
        <w:rPr>
          <w:rFonts w:ascii="Times New Roman" w:eastAsia="Microsoft YaHei" w:hAnsi="Times New Roman" w:cs="Times New Roman"/>
          <w:noProof/>
          <w:sz w:val="28"/>
          <w:szCs w:val="28"/>
        </w:rPr>
        <w:lastRenderedPageBreak/>
        <w:t>может не только решить свои транспортные проблемы, но и сыграть важную роль в глобальном движении к устойчивому будущему. Данные подтверждают идею о том, что переход на электротранспорт является не только экологически ответственным выбором, но и экономически обоснованной инвестицией в благополучие будущих поколений.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движется по пути устойчивого развития, внедрение электромобилей и решений в области возобновляемой энергии следует рассматривать как приоритет. При правильной политике, инвестициях и кампаниях по повышению осведомленности общественности страна может добиться существенного сокращения выбросов парниковых газов, одновременно подавая положительный пример другим странам, сталкивающимся с аналогичными проблемами. Будущее транспорта в Узбекистане может быть чище, здоровее и устойчивее, прокладывая путь к устойчивому и процветающему обществу.</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Улучшение качества воздуха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Качество воздуха, которым мы дышим, имеет решающее значение для нашего здоровья и благополучия. В связи с растущей обеспокоенностью по поводу изменения климата и ухудшения состояния окружающей среды многие страны, включая Узбекистан, ищут способы улучшить качество воздуха. Одним из важных способов сделать это является снижение зависимости от ископаемого топлива, которое, как известно, способствует загрязнению воздуха. В этом разделе будет проанализировано, как переход к экологически чистому транспорту может привести к улучшению качества воздуха, представлены некоторые убедительные данные и примеры из других регионов, которые реализовали инициативы по экологически чистому транспорту, а также обсуждены преимущества для здоровья, которые приносит чистый воздух для сообществ.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Ископаемые виды топлива, такие как уголь, нефть и природный газ, уже много лет являются основными источниками энергии. Однако при сжигании они выбрасывают в атмосферу вредные загрязняющие вещества, включая твердые частицы (ТЧ), оксиды азота (NOx), диоксид серы (SO2) и летучие органические соединения (ЛОС). Эти загрязняющие вещества могут привести к серьезным проблемам со здоровьем, включая респираторные заболевания, сердечно-сосудистые проблемы и даже преждевременную смерть. Переход на зеленые источники энергии, такие как солнечная энергия, ветер и электротранспорт, может значительно сократить эти выбросы.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Когда электромобили (ЭМ) заменяют традиционные бензиновые или дизельные автомобили, снижение вредных выбросов становится заметным. По данным Агентства по охране окружающей среды США (EPA), транспорт обеспечивает около 29% от общего объема выбросов парниковых газов в Соединенных Штатах, причем значительная часть приходится на дорожные транспортные средства. Переходя на электромобили, работающие на возобновляемых источниках энергии, мы можем радикально сократить эти выбросы. Например, исследование Международного совета по чистому транспорту (ICCT) показало, что переход на электромобили может </w:t>
      </w:r>
      <w:r w:rsidRPr="006F5789">
        <w:rPr>
          <w:rFonts w:ascii="Times New Roman" w:eastAsia="Microsoft YaHei" w:hAnsi="Times New Roman" w:cs="Times New Roman"/>
          <w:noProof/>
          <w:sz w:val="28"/>
          <w:szCs w:val="28"/>
        </w:rPr>
        <w:lastRenderedPageBreak/>
        <w:t>сократить выбросы парниковых газов до 70% в городских районах при использовании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 отчете Всемирной организации здравоохранения (ВОЗ) говорится, что загрязнение воздуха ежегодно становится причиной 7 миллионов преждевременных смертей во всем мире. Это подчеркивает острую необходимость в более чистом воздухе. В Узбекистане, где урбанизация и индустриализация привели к росту уровня загрязнения, внедрение экологически чистых транспортных решений может помочь снизить эти риски для здоровья.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Несколько регионов мира добились успехов в улучшении качества воздуха за счет внедрения экологически чистых транспортных инициатив. Например, в Норвегии правительство вложило значительные средства в электромобили и зарядную инфраструктуру. К 2020 году электромобили составили 54% всех продаж новых автомобилей в Норвегии. В результате исследования показали значительное снижение уровня диоксида азота (NO2) в городских районах, а некоторые города сообщили о снижении до 30% всего за несколько лет.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Другой убедительный случай наблюдается в Лос-Анджелесе, Калифорния, который долгое время боролся с загрязнением воздуха из-за пробок на дорогах и зависимости от ископаемого топлива. Однако город переходит на решения в области зеленой энергетики, включая электробусы и стимулирование использования электромобилей. Согласно данным Округа управления качеством воздуха Южного побережья, в регионе наблюдалось 28%-ное снижение выбросов твердых частиц от транспортных источников в период с 2013 по 2019 год, что способствовало улучшению качества воздуха и улучшению результатов в области общественного здравоохранения.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Китае такие города, как Пекин, внедрили обширные системы электрического общественного транспорта. Китайское правительство вложило значительные средства в электрификацию своего автобусного парка, и по состоянию на 2021 год более 60% автобусов в Пекине были электрическими. Исследование, проведенное Пекинским муниципальным бюро по охране окружающей среды, показало снижение уровня PM2.5 в городе на 35% после внедрения этих экологически чистых транспортных инициатив. Это особенно важно, учитывая, что PM2.5 является одним из самых вредных загрязнителей воздуха, связанных с многочисленными проблемами со здоровьем, включая рак легких и болезни сердца.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тематические исследования иллюстрируют глубокое влияние, которое может оказать транспортировка зеленой энергии на качество воздуха. Они показывают, что при правильной политике и инвестициях можно добиться более чистого воздуха и более здоровых сообществ.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Пользу для здоровья от улучшенного качества воздуха невозможно переоценить. Более чистый воздух приводит к снижению респираторных и сердечно-сосудистых заболеваний, снижению госпитализаций и улучшению общего состояния здоровья населения. Например, исследование, опубликованное в журнале Environmental Health </w:t>
      </w:r>
      <w:r w:rsidRPr="006F5789">
        <w:rPr>
          <w:rFonts w:ascii="Times New Roman" w:eastAsia="Microsoft YaHei" w:hAnsi="Times New Roman" w:cs="Times New Roman"/>
          <w:noProof/>
          <w:sz w:val="28"/>
          <w:szCs w:val="28"/>
        </w:rPr>
        <w:lastRenderedPageBreak/>
        <w:t>Perspectives, показало, что снижение уровня твердых частиц в городских районах привело к значительному снижению госпитализаций, связанных с астмой, среди детей.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где широко распространены проблемы с качеством воздуха, польза для здоровья от более чистого воздуха может быть преобразующей. При населении более 34 миллионов человек, многие из которых живут в городских районах с высоким уровнем загрязнения, потенциал улучшения результатов в области здравоохранения за счет инициатив по экологически чистому транспорту огромен. Согласно отчету Министерства здравоохранения Узбекистана, респираторные заболевания являются одной из основных причин заболеваемости в стране. Внедрение решений в области электротранспорта может привести к существенному улучшению здоровья и снижению расходов на здравоохранение, связанных с лечением заболеваний, связанных с загрязнением.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лучшее качество воздуха может также улучшить качество жизни жителей. Исследования показали, что более чистый воздух связан с более высоким уровнем счастья и благополучия. В отчете Европейского агентства по окружающей среде (ЕАОС) подчеркивается, что граждане, живущие в районах с хорошим качеством воздуха, сообщают об улучшении физического и психического здоровья, повышении производительности и общей удовлетворенности жизнью. Эти улучшения могут способствовать укреплению чувства общности и повышению социальной сплоченности.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нельзя игнорировать экономические выгоды от более чистого воздуха. Исследование Американской ассоциации общественного здравоохранения подсчитало, что снижение загрязнения воздуха может сэкономить Соединенным Штатам миллиарды долларов на расходах на здравоохранение и потери производительности каждый год. Аналогичным образом, Узбекистан может получить экономические выгоды от улучшения общественного здравоохранения в результате снижения загрязнения воздуха.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переход на экологически чистую энергетическую транспортировку в Узбекистане имеет значительные перспективы для улучшения качества воздуха. Сократив зависимость от ископаемого топлива, страна может добиться более чистого воздуха, что приведет к многочисленным преимуществам для здоровья ее сообществ. Опыт других регионов, внедривших экологически чистые транспортные инициативы, дает ценные идеи и данные, которые могут направлять усилия Узбекистана в этом направлении. По мере того, как страна продвигается вперед в своей программе зеленой энергетики, она может рассчитывать на более здоровое население и более устойчивое будущее, что в конечном итоге будет способствовать благополучию и процветанию ее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Важность решения проблемы качества воздуха невозможно переоценить; это неотъемлемая часть более широкой стратегии по улучшению общественного здравоохранения, повышению качества жизни и достижению целей устойчивого развития. Поскольку Узбекистан продолжает изучать передовые решения в области зеленой энергии для своего транспортного сектора, он должен отдать приоритет </w:t>
      </w:r>
      <w:r w:rsidRPr="006F5789">
        <w:rPr>
          <w:rFonts w:ascii="Times New Roman" w:eastAsia="Microsoft YaHei" w:hAnsi="Times New Roman" w:cs="Times New Roman"/>
          <w:noProof/>
          <w:sz w:val="28"/>
          <w:szCs w:val="28"/>
        </w:rPr>
        <w:lastRenderedPageBreak/>
        <w:t>инициативам по чистому воздуху как основополагающему аспекту своих процессов планирования и реализации.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Вклад в достижение целей устойчивого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настоящее время мир сталкивается с множеством проблем, включая изменение климата, бедность и неравенство. В рамках глобального движения страны согласовывают свои инициативы в области развития с Целями устойчивого развития (ЦУР), установленными Организацией Объединенных Наций. Эти 17 целей обеспечивают основу для решения неотложных глобальных проблем к 2030 году. Узбекистан, с его уникальным географическим и социально-экономическим ландшафтом, имеет потенциал для использования решений по транспортировке зеленой энергии, чтобы внести значительный вклад в эти ЦУР. В этой статье рассматриваются конкретные ЦУР, достигаемые с помощью решений по транспортировке зеленой энергии, согласование инициатив Узбекистана с этими целями и партнерства, которые могли бы ускорить прогресс в их достижении.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по транспортировке зеленой энергии могут решать несколько ЦУР, каждая из которых способствует более устойчивому будущему. Некоторые из наиболее важных целей включают: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7: Доступная и чистая энергия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Эта цель подчеркивает необходимость всеобщего доступа к доступной, надежной, устойчивой и современной энергии для всех. В Узбекистане интеграция возобновляемых источников энергии, таких как солнечная и ветровая, в транспортный сектор может обеспечить чистые энергетические решения. Например, развертывание электромобилей (ЭМ) на солнечных батареях не только снижает зависимость от ископаемого топлива, но и способствует диверсификации энергетики. Кроме того, генерация солнечной энергии может быть использована в сельских районах, где доступ к сети ограничен, гарантируя, что даже отдаленные общины получат выгоду от современных энергетических решений.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9: Промышленность, инновации и инфраструктура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Эта цель направлена на создание устойчивой инфраструктуры, содействие инклюзивной и устойчивой индустриализации и поощрение инноваций. Развитие надежной сети электротранспорта в Узбекистане потребует значительных инвестиций в инфраструктуру, такую как зарядные станции, объекты технического обслуживания и транспортные узлы. Интегрируя передовые технологии, такие как интеллектуальные сети и IoT (Интернет вещей), Узбекистан может повысить эффективность и надежность своих транспортных систем. Кроме того, создание местных отраслей промышленности, которые производят электромобили и компоненты возобновляемой энергии, может стимулировать экономический рост и инновации.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11: Устойчивые города и сообщества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Урбанизация создает различные проблемы, включая заторы, загрязнение и неадекватные системы общественного транспорта. Решения по транспорту на основе зеленой энергии способствуют тому, чтобы города были инклюзивными, безопасными, </w:t>
      </w:r>
      <w:r w:rsidRPr="006F5789">
        <w:rPr>
          <w:rFonts w:ascii="Times New Roman" w:eastAsia="Microsoft YaHei" w:hAnsi="Times New Roman" w:cs="Times New Roman"/>
          <w:noProof/>
          <w:sz w:val="28"/>
          <w:szCs w:val="28"/>
        </w:rPr>
        <w:lastRenderedPageBreak/>
        <w:t>устойчивыми и устойчивыми. В Узбекистане продвижение электрических автобусов и решений по совместному использованию мобильности может уменьшить заторы на дорогах и улучшить качество воздуха в городских районах. Кроме того, интеграция зеленых зон и инфраструктуры, удобной для пешеходов, в городское планирование может повысить удобство проживания в сообществе, одновременно поддерживая устойчивые виды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13: Борьба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Изменение климата является одной из самых острых глобальных проблем, и эта цель направлена на принятие срочных мер по борьбе с ней. Переходя на зеленую транспортную систему, Узбекистан может значительно сократить выбросы парниковых газов, связанные с традиционным транспортом на основе ископаемого топлива. Приверженность страны сокращению своего углеродного следа согласуется с глобальными усилиями по смягчению последствий изменения климата, демонстрируя лидерство и ответственность на международной арене.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3: Хорошее здоровье и благополучие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Связь между транспортом и общественным здравоохранением часто упускается из виду. Внедрение экологически чистых энергетических транспортных решений может привести к улучшению качества воздуха, что имеет решающее значение для общественного здравоохранения. В регионах, где загрязнение воздуха сильно из-за выбросов транспортных средств, внедрение электромобилей может привести к заметному снижению респираторных заболеваний и других проблем со здоровьем. Кроме того, продвижение активных видов транспорта, таких как ходьба и езда на велосипеде, может способствовать более здоровому образу жизни среди населения.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Цель 8: Достойный труд и экономический рост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по транспортировке зеленой энергии могут создать многочисленные рабочие места в различных секторах, включая возобновляемую энергетику, производство и развитие инфраструктуры. Поскольку Узбекистан инвестирует в зеленые технологии, существует потенциал для создания рабочих мест в таких областях, как производство аккумуляторов, сборка автомобилей и техническое обслуживание. Поддержка местных предприятий и создание квалифицированной рабочей силы обеспечит инклюзивный и устойчивый экономический рост.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добился заметных успехов в согласовании своих национальных стратегий развития с ЦУР. Правительство признает важность устойчивого развития и инициировало несколько политик, которые поддерживают зеленую энергетику и транспорт.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Национальная стратегия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Национальной стратегии развития Узбекистана излагается обязательство по переходу к более устойчивой экономике. Это включает инвестиции в возобновляемые источники энергии и модернизацию транспортной инфраструктуры. Отдавая приоритет зеленой энергетике, Узбекистан стремится сократить выбросы углерода и повысить энергетическую безопасность, что напрямую поддерживает Цели 7, 9 и 13.</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lastRenderedPageBreak/>
        <w:t>Концепция зеленой экономики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Страна приняла Концепцию зеленой экономики, которая делает акцент на устойчивом управлении ресурсами, энергоэффективности и защите окружающей среды. Эта концепция соответствует нескольким ЦУР, в частности целям 11 и 12, которые фокусируются на устойчивых городах и ответственном потреблении. Продвигая электромобили и общественный транспорт, Узбекистан предпринимает конкретные шаги по созданию более зеленой городской среды.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Региональное сотрудничество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активно участвует в региональных инициативах, направленных на содействие устойчивому развитию. Совместные усилия с соседними странами Центральной Азии сосредоточены на проектах возобновляемой энергии и трансграничных транспортных сетях. Эти партнерства усиливают совместное использование ресурсов и инновации, способствуя достижению множества ЦУР.</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Инвестиции в возобновляемые источники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Правительство поставило амбициозные цели по увеличению производства возобновляемой энергии, стремясь к 2030 году обеспечить 25% энергобаланса за счет возобновляемых источников. Это обязательство соответствует Цели 7 и демонстрирует приверженность Узбекистана отказу от ископаемого топлива в транспортном секторе.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Информирование общественности и образование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Повышение осведомленности о преимуществах зеленой энергии и устойчивого транспорта имеет решающее значение для общественной поддержки. Узбекистан инициировал кампании по информированию граждан о преимуществах использования электромобилей и общественного транспорта. Это соответствует Цели 4, которая фокусируется на обеспечении инклюзивного и справедливого качественного образования.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Чтобы максимизировать влияние решений по транспортировке зеленой энергии, Узбекистан должен развивать партнерство и сотрудничество как на национальном, так и на международном уровне. Эти альянсы могут улучшить мобилизацию ресурсов, обмен знаниями и передачу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Государственно-частное партнерство (ГЧП)</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Привлечение частного сектора к проектам по транспортировке зеленой энергии может ускорить внедрение и инновации. ГЧП может способствовать инвестициям в зарядную инфраструктуру и производство электромобилей, используя частный опыт и ресурсы для достижения общественных целей. Например, партнерство с технологическими компаниями может привести к разработке интеллектуальных транспортных решений, которые оптимизируют использование энергии и улучшают пользовательский опыт.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Международное сотрудничество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Сотрудничество с международными организациями и странами с передовыми зелеными технологиями может предоставить Узбекистану ценный опыт. Такие инициативы, как Программа развития ООН (ПРООН), могут предложить техническую </w:t>
      </w:r>
      <w:r w:rsidRPr="006F5789">
        <w:rPr>
          <w:rFonts w:ascii="Times New Roman" w:eastAsia="Microsoft YaHei" w:hAnsi="Times New Roman" w:cs="Times New Roman"/>
          <w:noProof/>
          <w:sz w:val="28"/>
          <w:szCs w:val="28"/>
        </w:rPr>
        <w:lastRenderedPageBreak/>
        <w:t>помощь, финансирование и поддержку в наращивании потенциала для содействия реализации проектов в области зеленого транспорта. Кроме того, партнерство со странами, которые успешно внедрили модели электротранспорта, может предоставить идеи и передовой опыт для контекста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Академические и исследовательские институты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Сотрудничество с университетами и научно-исследовательскими институтами может способствовать инновациям в секторе зеленой энергетики. Занимаясь исследованиями и разработками, Узбекистан может изучать новые технологии и решения для устойчивого транспорта. Такие инициативы, как совместные исследовательские проекты, могут быть направлены на оптимизацию производительности электромобилей, эффективность аккумуляторов и интеграцию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Взаимодействие с сообществом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Привлечение местных сообществ к инициативам в области зеленого транспорта имеет важное значение для создания поддержки и обеспечения устойчивости. Проекты на уровне сообществ, такие как программы совместного пользования автомобилями и местные маршруты электробусов, могут дать гражданам возможность участвовать в переходе на зеленую энергию. Кроме того, вовлечение сообществ в процессы принятия решений может привести к более индивидуальным и эффективным решениям, которые соответствуют местным потребностям.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Международные финансовые институты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Доступ к финансированию от международных финансовых институтов, таких как Всемирный банк и Азиатский банк развития, может обеспечить необходимый капитал для крупномасштабных проектов в области зеленого транспорта. Эти институты часто поддерживают инициативы, соответствующие ЦУР, что делает их жизненно важными партнерами на пути Узбекистана к устойчивому развитию.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находится на перепутье, имея возможность преобразовать свой транспортный сектор с помощью решений в области зеленой энергетики, которые соответствуют Целям устойчивого развития. Решая конкретные ЦУР, такие как чистая энергия, устойчивые города, борьба с изменением климата и общественное здравоохранение, Узбекистан может создать более устойчивое и стабильное будущее. Приверженность правительства возобновляемым источникам энергии и устойчивой инфраструктуре заслуживает похвалы, но сотрудничество и партнерство имеют важное значение для масштабирования этих инициатив. Привлекая частный сектор, международные организации, академические учреждения и местные сообщества, Узбекистан может усилить свой прогресс в достижении ЦУР, одновременно способствуя экономическому росту и улучшая качество жизни своих граждан. Путь вперед полон потенциала, и, приняв решения в области зеленой энергетики в области транспорта, Узбекистан может подать пример в регионе и за его пределами.</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Стратегия внедрения электротранспортной сети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Политика и нормативная база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зеленой транспортировке энергии в Узбекистане заключается не только во внедрении новых технологий; он также требует всеобъемлющей и поддерживающей политики и нормативной базы. Эта структура имеет решающее значение для создания основы для устойчивых практик, которые могут привести к значительным экологическим, экономическим и социальным выгодам. В этом разделе будут обсуждаться существующие политики и правила, которые поддерживают зеленую транспортировку энергии, будут предложены необходимые изменения или новые правила для содействия внедрению и подчеркнута важность сотрудничества между правительством и частным сектором.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добился успехов в создании политической основы, направленной на интеграцию решений в области зеленой энергетики в транспортный сектор. Значительным компонентом этой основы является приверженность страны Парижскому соглашению, в котором Узбекистан обязался сократить выбросы парниковых газов и увеличить долю возобновляемых источников энергии в своем общем энергобалансе. Правительство признало, что переход на транспорт на основе зеленой энергии имеет важное значение для выполнения этих обязательств, и было принято несколько политик для поддержки этого перехода.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примечательных политик является «Концепция перехода к зеленой экономике», которая направлена на повышение энергоэффективности и продвижение устойчивых практик в различных секторах, включая транспорт. Эта концепция определяет конкретные цели, такие как увеличение использования электромобилей (ЭМ) и развитие инфраструктуры для возобновляемых источников энергии. Кроме того, правительство инициировало стимулы для производства и покупки электромобилей, включая налоговые льготы и субсидии, которые призваны сделать ЭМ более доступными для населения.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Стратегия развития транспортной системы Узбекистана на 2016-2020 годы подчеркивает модернизацию и внедрение экологически чистых видов транспорта. Эта стратегия подчеркивает необходимость перехода на электромобили и гибридные транспортные средства для снижения загрязнения воздуха и зависимости от ископаемого топлива. Аналогичным образом правительство работает над улучшением систем общественного транспорта для интеграции зеленых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Закон о возобновляемых источниках энергии, принятый в 2019 году, обеспечивает правовую основу для разработки проектов возобновляемой энергетики, в том числе связанных с транспортом. Этот закон поощряет частные инвестиции в инфраструктуру возобновляемой энергетики, такую как солнечные и ветровые энергетические установки, которые могут питать электрические транспортные сети. Он также устанавливает рамки для тарифов на поставку, которые гарантируют фиксированную цену для производителей возобновляемой энергии, делая инвестиции более привлекательными.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Несмотря на эти позитивные изменения, в существующих политиках есть пробелы, которые необходимо устранить для содействия более надежной экосистеме зеленой энергии для транспортировки. Хотя основополагающие политики существуют, им часто не хватает конкретных руководящих принципов и показателей для оценки прогресса. Например, необходимы четкие цели по принятию электромобилей и расширению инфраструктуры зарядки по всей стране.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повышения эффективности текущей политической структуры необходимы некоторые изменения и новые правила. Во-первых, необходимо установить конкретные цели для внедрения электромобилей. Например, правительство может установить цель, чтобы определенный процент новых проданных автомобилей был электрическим к определенному году. Такого рода нормативная цель дала бы четкое направление для производителей, потребителей и инвесторов, способствуя созданию среды, благоприятствующей росту рынка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одной важной областью для улучшения политики является развитие инфраструктуры для зарядных станций. Правительству следует ввести правила, которые требуют, чтобы новые разработки включали планы по зарядной инфраструктуре. Это может принять форму предписаний для зарядных станций в жилых зданиях, коммерческих районах и общественных парковках. Кроме того, следует увеличить стимулы для инвестиций частного сектора в зарядную инфраструктуру, например, предлагая гранты или налоговые льготы для компаний, которые строят зарядные станции в недостаточно обслуживаемых районах.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политика поддержки исследований и разработок в области зеленых технологий должна быть приоритетной. Создание национального фонда для инноваций в области зеленой энергетики может побудить университеты и частные компании разрабатывать новые технологии, которые сделают зеленый транспорт более эффективным и доступным. Этот фонд мог бы поддерживать проекты, ориентированные на аккумуляторные технологии, интеллектуальные сетевые решения и системы управления энергией, которые оптимизируют использование возобновляемой энергии в транспорте.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кампании по повышению осведомленности общественности имеют важное значение для изменения поведения потребителей и повышения принятия электромобилей. Правительству следует работать над образовательными инициативами, чтобы информировать общественность о преимуществах транспорта на зеленой энергии и о том, как получить доступ к имеющимся стимулам. Сотрудничество с НПО и общественными организациями может помочь усилить эти усилия и гарантировать, что информация достигнет различных демографических групп.</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Наконец, правительству следует рассмотреть возможность принятия всеобъемлющей политической структуры, которая соответствует передовой международной практике. Это будет включать взаимодействие с международными организациями и экспертами в области зеленого транспорта для изучения успешного опыта внедрения в других странах. Адаптируя проверенные стратегии из других </w:t>
      </w:r>
      <w:r w:rsidRPr="006F5789">
        <w:rPr>
          <w:rFonts w:ascii="Times New Roman" w:eastAsia="Microsoft YaHei" w:hAnsi="Times New Roman" w:cs="Times New Roman"/>
          <w:noProof/>
          <w:sz w:val="28"/>
          <w:szCs w:val="28"/>
        </w:rPr>
        <w:lastRenderedPageBreak/>
        <w:t>контекстов, Узбекистан может ускорить свой переход к устойчивой транспортной системе.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успешной реализации политики транспортировки зеленой энергии решающее значение имеет сотрудничество между правительством и частным сектором. Правительство играет роль в создании благоприятной среды для частных инвестиций, в то время как частный сектор может стимулировать инновации и эффективность в разработке зеленых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Государственно-частное партнерство (ГЧП) может быть особенно эффективным в развитии необходимой инфраструктуры для электротранспорта. Например, правительство может сотрудничать с частными компаниями для создания зарядных станций в городских и сельских районах. Такие партнерства могут использовать сильные стороны обоих секторов, где правительство обеспечивает нормативную поддержку и стимулы, а частные компании вкладывают капитал и экспертизу в реализацию проекта.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частный сектор может играть важную роль в продвижении электромобилей посредством маркетинга и работы с потребителями. Производители автомобилей могут сотрудничать с правительством для создания рекламных кампаний, подчеркивающих преимущества электромобилей, включая более низкие эксплуатационные расходы и экологические преимущества. Таким образом, они могут помочь изменить общественное восприятие и увеличить спрос на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правительство может способствовать сотрудничеству между местными предприятиями и международными фирмами, специализирующимися на зеленых технологиях. Способствуя развитию экосистемы, в которой знания и ресурсы являются общими, Узбекистан может ускорить свой переход к зеленой транспортировке энергии. Например, партнерство с иностранными компаниями может принести передовые технологии и опыт на местный рынок, расширяя возможности транспортного сектора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взаимодействие с местными сообществами в планировании и реализации экологически чистых транспортных инициатив имеет важное значение. Правительству следует искать вклад членов сообщества, чтобы понять их потребности и опасения относительно транспортных решений. Этот совместный подход может привести к более адаптированной и эффективной политике, которая решает местные проблемы, одновременно продвигая экологически чистые энергетические решения.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крайне важно, чтобы правительство регулярно оценивало и корректировало политику на основе отзывов частного сектора и заинтересованных сторон сообщества. Этот итеративный процесс может помочь выявить препятствия и возможности для улучшения, гарантируя, что нормативная база будет реагировать на меняющийся ландшафт зеленой энергетической транспортировки.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Подводя итог, можно сказать, что политика и нормативная база, касающиеся транспорта на основе зеленой энергии в Узбекистане, являются основополагающими для содействия устойчивой и экологически чистой транспортной системе. Хотя </w:t>
      </w:r>
      <w:r w:rsidRPr="006F5789">
        <w:rPr>
          <w:rFonts w:ascii="Times New Roman" w:eastAsia="Microsoft YaHei" w:hAnsi="Times New Roman" w:cs="Times New Roman"/>
          <w:noProof/>
          <w:sz w:val="28"/>
          <w:szCs w:val="28"/>
        </w:rPr>
        <w:lastRenderedPageBreak/>
        <w:t>существующая политика обеспечивает надежную отправную точку, необходимы дальнейшие улучшения, включая установление конкретных целей по внедрению электромобилей, улучшение инфраструктуры зарядки и содействие исследованиям и разработкам. Сотрудничество между правительством и частным сектором имеет важное значение для стимулирования инноваций и инвестиций в зеленые технологии. Создавая благоприятную политическую среду и взаимодействуя с заинтересованными сторонами, Узбекистан может проложить путь к успешному переходу на транспорт на основе зеленой энергии, получая значительные экологические, экономические и социальные выгоды для своих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Поскольку Узбекистан продолжает сталкиваться с проблемами урбанизации, изменения климата и энергетической безопасности, важность всеобъемлющей и эффективной политики и нормативно-правовой базы невозможно переоценить. Благодаря стратегическому планированию и сотрудничеству страна может позиционировать себя как лидера в области устойчивого транспорта, принося пользу не только окружающей среде, но и экономике и общественному здравоохранению. При наличии правильной политики Узбекистан может достичь своих целей в области зеленой энергетики и внести позитивный вклад в глобальные усилия по борьбе с изменением климата.</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Региональные особенности производства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расположенный в Центральной Азии, наделен разнообразным ландшафтом, включающим горы, пустыни и реки, которые играют важную роль в определении возможностей производства энергии в различных регионах. Страна традиционно зависела от ископаемого топлива, в частности природного газа, который был основой ее энергетического сектора. Однако переход к зеленой энергетике становится все более важным из-за глобального сдвига в сторону устойчивости и острой необходимости борьбы с изменением климата.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 рассмотрении возможностей производства энергии в Узбекистане становится очевидным, что существуют значительные региональные различия, которые могут повлиять на транспортные сети. Например, регион Каракалпакстан, расположенный на северо-западе, имеет большие площади пустынь и получает обильное количество солнечного света, что делает его пригодным для производства солнечной энергии. По данным Государственного комитета Республики Узбекистан по статистике, этот регион может вырабатывать до 1500 кВт·ч электроэнергии на квадратный метр в год за счет солнечной энергии. Таким образом, солнечная энергия является жизнеспособным вариантом для улучшения энергоснабжения электротранспорта в этой области.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 другой стороны, такие регионы, как Ташкент и Самарканд, имеют более разнообразный климат и городской ландшафт, что представляет как возможности, так и проблемы для производства энергии. Ташкент, как столица, имеет высокий спрос на энергию из-за своей густонаселенности и промышленной деятельности. Мощности по производству энергии здесь должны не только удовлетворять текущие потребности, но и обеспечивать будущий рост, особенно если использование электромобилей (ЭМ) </w:t>
      </w:r>
      <w:r w:rsidRPr="006F5789">
        <w:rPr>
          <w:rFonts w:ascii="Times New Roman" w:eastAsia="Microsoft YaHei" w:hAnsi="Times New Roman" w:cs="Times New Roman"/>
          <w:noProof/>
          <w:sz w:val="28"/>
          <w:szCs w:val="28"/>
        </w:rPr>
        <w:lastRenderedPageBreak/>
        <w:t>станет широко распространенным. Поэтому интеграция возобновляемых источников энергии, таких как ветер и солнце, в энергетический баланс имеет решающее значение.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Ветроэнергетика представляет собой еще один путь для производства энергии, который может быть оптимизирован на региональном уровне. Восточные регионы, особенно те, что расположены вблизи гор, имеют благоприятные ветровые условия, со средней скоростью ветра более 5 метров в секунду. Такие регионы, как Ферганская долина, могут использовать этот потенциал для генерации ветроэнергетики, которая затем может быть интегрирована в транспортную сеть. Ветроэнергетика может обеспечить стабильный источник энергии, особенно в периоды, когда производство солнечной энергии может быть ниже, например, в пасмурные дни или ночью.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географическое положение Узбекистана открывает возможности для производства гидроэлектроэнергии, особенно в горных районах. В стране есть несколько рек, включая Амударью и Сырдарью, которые могут быть использованы для производства гидроэлектроэнергии. Этот возобновляемый источник энергии может сыграть значительную роль в диверсификации энергетического баланса, особенно для регионов, которые могут не иметь лучших условий для солнечной или ветровой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региональные различия в мощности производства энергии имеют прямые последствия для развития транспортных сетей. Например, если регион в значительной степени зависит от солнечной энергии, инфраструктура зарядки электромобилей должна быть оборудована для обработки колебаний в энергоснабжении в зависимости от погодных условий. Это означает, что решения по хранению энергии будут иметь важное значение для обеспечения того, чтобы электромобили могли заряжаться последовательно, независимо от времени суток или погодных условий. Интеграция интеллектуальных сетей, которые могут управлять потоками энергии из различных источников, будет иметь решающее значение для оптимизации энергоснабжения транспортных сетей.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эффективной оптимизации производства энергии с учетом региональной специфики необходим многогранный подход. В первую очередь, необходимо провести детальное картирование энергетических ресурсов для определения потенциала возобновляемой энергии в каждом регионе. Это картирование будет включать оценку уровней солнечной инсоляции, скорости ветра и потенциала гидроэнергетики, а также существующей энергетической инфраструктуры. Понимая уникальные характеристики каждого региона, политики могут разрабатывать целевые стратегии, соответствующие местным энергетическим ресурсам.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Что касается солнечной энергии, то регионы с высоким солнечным потенциалом, такие как Каракалпакстан, должны отдавать приоритет установке фотоэлектрических систем. Эти системы могут быть развернуты на крупных солнечных фермах или даже на крышах зданий в городских районах, тем самым увеличивая общую мощность генерации энергии. Кроме того, могут быть разработаны общественные солнечные проекты, в которых местные жители могут инвестировать в солнечные панели и </w:t>
      </w:r>
      <w:r w:rsidRPr="006F5789">
        <w:rPr>
          <w:rFonts w:ascii="Times New Roman" w:eastAsia="Microsoft YaHei" w:hAnsi="Times New Roman" w:cs="Times New Roman"/>
          <w:noProof/>
          <w:sz w:val="28"/>
          <w:szCs w:val="28"/>
        </w:rPr>
        <w:lastRenderedPageBreak/>
        <w:t>получать выгоду от снижения затрат на энергию, одновременно внося вклад в более крупную энергетическую сеть.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регионах с сильным ветровым потенциалом, например, в восточных районах, можно построить ветряные электростанции для использования этой энергии. Технологии ветровых турбин значительно продвинулись вперед, и современные турбины разработаны так, чтобы быть более эффективными и менее навязчивыми для ландшафта. Благодаря включению энергии ветра в местную транспортную сеть, станции зарядки электромобилей могут работать на чистой энергии, что значительно сокращает выбросы парниковых газов.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Гибридные системы, которые объединяют солнечную и ветровую энергию, также должны быть изучены, особенно в областях, где оба ресурса доступны. Такой подход может привести к более стабильному и надежному энергоснабжению. Например, в течение дня можно использовать солнечную энергию, а ночью или в ненастную погоду — энергию ветра. Такое сочетание может смягчить проблемы с перебоями, обычно связанные с возобновляемыми источниками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использование технологий хранения энергии, таких как аккумуляторы или гидроаккумулирующие установки, имеет жизненно важное значение для оптимизации производства энергии. Решения по хранению энергии могут хранить избыточную энергию, произведенную в периоды пиковой выработки, гарантируя, что станции зарядки электромобилей будут иметь постоянный запас энергии, доступный при необходимости. Это может помочь уменьшить опасения относительно надежности возобновляемых источников энергии и побудить больше людей использовать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Другая важная стратегия — содействие развитию местных партнерств, которые могут расширить возможности производства энергии. Сотрудничество между государственными структурами, частными компаниями и местными сообществами может создать синергию, которая будет стимулировать развитие проектов в области возобновляемой энергии. Например, местные предприятия могут инвестировать в технологии возобновляемой энергии, в то время как правительство может предоставлять стимулы или субсидии для поддержки этих инициатив. Государственно-частные партнерства также могут способствовать развитию инфраструктуры, такой как зарядные станции и проекты в области возобновляемой энергии, которые имеют решающее значение для поддержки сетей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можно реализовать образовательные программы, направленные на повышение осведомленности о возобновляемой энергии и ее преимуществах. Привлекая местные сообщества и обучая их важности перехода на зеленую энергию, можно добиться более сильного толчка к принятию возобновляемых технологий. Участие сообщества в энергетических проектах может привести к повышению заинтересованности и поддержки инициатив в области возобновляемой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Переход на зеленую энергию в транспортных сетях Узбекистана представляет многочисленные возможности для местного партнерства и использования ресурсов. </w:t>
      </w:r>
      <w:r w:rsidRPr="006F5789">
        <w:rPr>
          <w:rFonts w:ascii="Times New Roman" w:eastAsia="Microsoft YaHei" w:hAnsi="Times New Roman" w:cs="Times New Roman"/>
          <w:noProof/>
          <w:sz w:val="28"/>
          <w:szCs w:val="28"/>
        </w:rPr>
        <w:lastRenderedPageBreak/>
        <w:t>Одним из ключевых аспектов этого перехода является использование опыта и ресурсов, имеющихся в местных сообществах. Это может привести к более устойчивым и эффективным стратегиям производства энергии, которые адаптированы к потребностям каждого региона.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Местные университеты и научно-исследовательские институты могут играть важную роль в продвижении инноваций в области технологий возобновляемой энергии. Благодаря партнерству с этими институтами правительство и частный сектор могут способствовать инициативам в области исследований и разработок, направленным на оптимизацию производства энергии и интеграцию этих решений в транспортные сети. Например, научно-исследовательские проекты могли бы изучать осуществимость новых технологий солнечных панелей или передовых конструкций ветровых турбин, специально адаптированных к климату и рельефу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местные предприятия могут внести свой вклад в переход на возобновляемую энергию, инвестируя в зеленые технологии. Компании, специализирующиеся на строительстве, технологиях и инжиниринге, могут сотрудничать с производителями энергии для разработки инфраструктуры для возобновляемых источников энергии и станций зарядки электромобилей. Эти партнерства могут создавать рабочие места и стимулировать местную экономику, одновременно продвигая повестку дня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Местные органы власти также могут играть ключевую роль в содействии партнерству, предоставляя необходимые нормативные рамки и стимулы для проектов возобновляемой энергии. Это включает в себя оптимизацию процесса выдачи разрешений на установки возобновляемой энергии и предоставление налоговых льгот или финансовой помощи для предприятий, которые инвестируют в зеленые технологии. </w:t>
      </w:r>
      <w:proofErr w:type="gramStart"/>
      <w:r w:rsidRPr="006F5789">
        <w:rPr>
          <w:rFonts w:ascii="Times New Roman" w:eastAsia="Microsoft YaHei" w:hAnsi="Times New Roman" w:cs="Times New Roman"/>
          <w:noProof/>
          <w:sz w:val="28"/>
          <w:szCs w:val="28"/>
        </w:rPr>
        <w:t>Создавая благоприятную бизнес-среду, местные органы власти могут привлекать инвестиции в возобновляемую энергию и транспортные решения.</w:t>
      </w:r>
      <w:proofErr w:type="gramEnd"/>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могут быть сформированы энергетические кооперативы на базе сообществ, чтобы дать возможность местным жителям принять участие в энергетическом переходе. Эти кооперативы могут управлять проектами возобновляемой энергии, позволяя членам сообщества иметь долю в процессе производства энергии. Производя местную энергию, сообщества могут снизить свою зависимость от импортируемого ископаемого топлива и повысить свою энергетическую независимость.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Другим путем для местного партнерства является сотрудничество с международными организациями и НПО. Многие международные организации сосредоточены на продвижении инициатив по развитию возобновляемой энергетики и устойчивости. Благодаря партнерству с этими организациями Узбекистан может получить доступ к финансированию, технической экспертизе и передовому опыту для реализации проектов в области зеленой энергетики. Такое сотрудничество также может способствовать передаче знаний, помогая местным заинтересованным сторонам учиться </w:t>
      </w:r>
      <w:r w:rsidRPr="006F5789">
        <w:rPr>
          <w:rFonts w:ascii="Times New Roman" w:eastAsia="Microsoft YaHei" w:hAnsi="Times New Roman" w:cs="Times New Roman"/>
          <w:noProof/>
          <w:sz w:val="28"/>
          <w:szCs w:val="28"/>
        </w:rPr>
        <w:lastRenderedPageBreak/>
        <w:t>на успешных инициативах в области возобновляемой энергетики, реализованных в других странах.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региональная специфика производства энергии в Узбекистане представляет как проблемы, так и возможности для развития электрических транспортных сетей. Анализируя уникальные характеристики каждого региона, оптимизируя стратегии производства энергии и способствуя развитию местных партнерств, Узбекистан может эффективно перейти к более устойчивому энергетическому будущему. Интеграция возобновляемой энергии в транспортные сети не только повышает энергетическую безопасность, но и способствует экологической устойчивости и экономическому росту. Поскольку Узбекистан продвигается вперед со своей повесткой дня в области зеленой энергетики, крайне важно использовать региональные ресурсы и вовлечение сообщества для достижения долгосрочных результатов.</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Поэтапный план внедрения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Успешное внедрение передовых решений в области зеленой энергетики для транспорта в Узбекистане требует системного и хорошо структурированного подхода. Поэтапный план развертывания необходим для обеспечения эффективного и действенного выполнения каждого этапа проекта. Такой подход позволит выявить проблемы и возможности на каждом этапе, способствуя корректировкам, которые могут повысить общую эффективность инициативы.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Начальная фаза плана развертывания будет сосредоточена на пилотных проектах в ключевых городах. Эти города будут выбраны на основе нескольких критериев, включая плотность населения, существующую транспортную инфраструктуру и потенциал для интеграции возобновляемых источников энергии. Например, Ташкент, столица, является главным кандидатом из-за своего значительного населения и существующих систем общественного транспорта. Другие города, такие как Самарканд и Бухара, также могут быть рассмотрены, поскольку они привлекают большое количество туристов и имеют потенциал для получения выгоды от решений в области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 пилотном этапе основной целью будет создание маломасштабной сети электротранспорта, которая продемонстрирует жизнеспособность технологии. Эта сеть может включать ограниченное количество электробусов, такси и зарядных станций, работающих на возобновляемых источниках энергии, таких как солнечная и ветровая. Пилотный проект послужит подтверждением концепции, позволяя заинтересованным сторонам оценить производительность электромобилей (ЭМ) в местном контексте и собрать данные о поведении пользователей и потреблении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Для обеспечения успеха этих пилотных проектов крайне важно взаимодействовать с местными органами власти, сообществами и заинтересованными сторонами с самого начала. Кампании по повышению осведомленности общественности будут иметь важное значение для информирования граждан о преимуществах зеленого транспорта и поощрения их к участию в инициативе. Сотрудничество с местными предприятиями и </w:t>
      </w:r>
      <w:r w:rsidRPr="006F5789">
        <w:rPr>
          <w:rFonts w:ascii="Times New Roman" w:eastAsia="Microsoft YaHei" w:hAnsi="Times New Roman" w:cs="Times New Roman"/>
          <w:noProof/>
          <w:sz w:val="28"/>
          <w:szCs w:val="28"/>
        </w:rPr>
        <w:lastRenderedPageBreak/>
        <w:t>организациями также может обеспечить дополнительную поддержку и ресурсы, помогая создать чувство сопричастности и вовлеченности сообщества в проект.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План внедрения будет разделен на отдельные фазы, каждая из которых будет иметь определенные сроки, контрольные точки и стратегии распределения ресурсов. Ниже приведена предлагаемая временная шкала для плана развертывания:</w:t>
      </w:r>
    </w:p>
    <w:p w:rsidR="00FF5C24" w:rsidRPr="006F5789" w:rsidRDefault="006F5789" w:rsidP="006F5789">
      <w:pPr>
        <w:numPr>
          <w:ilvl w:val="0"/>
          <w:numId w:val="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Сроки: </w:t>
      </w:r>
      <w:r w:rsidRPr="006F5789">
        <w:rPr>
          <w:rFonts w:ascii="Times New Roman" w:eastAsia="Microsoft YaHei" w:hAnsi="Times New Roman" w:cs="Times New Roman"/>
          <w:noProof/>
          <w:sz w:val="28"/>
          <w:szCs w:val="28"/>
        </w:rPr>
        <w:t>от 0 до 12 месяцев</w:t>
      </w:r>
    </w:p>
    <w:p w:rsidR="00FF5C24" w:rsidRPr="006F5789" w:rsidRDefault="006F5789" w:rsidP="006F5789">
      <w:pPr>
        <w:numPr>
          <w:ilvl w:val="0"/>
          <w:numId w:val="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Выбор пилотных городов и определение заинтересованных сторон (месяц 1-2)</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Установка зарядных станций и закупка электромобилей (3-6 месяц)</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Запуск пилотных услуг электротранспорта (7-12 месяцы)</w:t>
      </w:r>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Первоначальное финансирование будет осуществляться за счет государственных грантов, международных организаций и инвестиций частного сектора. Предполагаемый бюджет</w:t>
      </w:r>
      <m:oMath>
        <m:r>
          <w:rPr>
            <w:rFonts w:ascii="Cambria Math" w:hAnsi="Cambria Math" w:cs="Times New Roman"/>
            <w:sz w:val="28"/>
            <w:szCs w:val="28"/>
          </w:rPr>
          <m:t>5millionwillbeallocatedtocoverthecostsofvehicles,charginginfrastructure,andmarketingcampaigns.</m:t>
        </m:r>
      </m:oMath>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Сроки: от 13 до 24 месяцев</w:t>
      </w:r>
    </w:p>
    <w:p w:rsidR="00FF5C24" w:rsidRPr="006F5789" w:rsidRDefault="006F5789" w:rsidP="006F5789">
      <w:pPr>
        <w:numPr>
          <w:ilvl w:val="0"/>
          <w:numId w:val="7"/>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Оценка результатов пилотного проекта и отзывов заинтересованных сторон (месяц 13-15)</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Определение дополнительных городов для расширения (месяц 16)</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Запуск сетей электротранспорта в отдельных городах (17-24 месяцы)</w:t>
      </w:r>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Финансирование этого этапа будет осуществляться за счет доходов от пилотных проектов в сочетании с дополнительной государственной поддержкой и потенциальными партнерствами с местными предприятиями. Предполагаемый бюджет</w:t>
      </w:r>
      <m:oMath>
        <m:r>
          <w:rPr>
            <w:rFonts w:ascii="Cambria Math" w:hAnsi="Cambria Math" w:cs="Times New Roman"/>
            <w:sz w:val="28"/>
            <w:szCs w:val="28"/>
          </w:rPr>
          <m:t>10millionwillbenecessarytoexpandthenetworkandincreasethenumberof</m:t>
        </m:r>
        <m:r>
          <w:rPr>
            <w:rFonts w:ascii="Cambria Math" w:hAnsi="Cambria Math" w:cs="Times New Roman"/>
            <w:sz w:val="28"/>
            <w:szCs w:val="28"/>
          </w:rPr>
          <m:t>electricvehiclesandchargingstations.</m:t>
        </m:r>
      </m:oMath>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Сроки: от 25 до 36 месяцев</w:t>
      </w:r>
    </w:p>
    <w:p w:rsidR="00FF5C24" w:rsidRPr="006F5789" w:rsidRDefault="006F5789" w:rsidP="006F5789">
      <w:pPr>
        <w:numPr>
          <w:ilvl w:val="0"/>
          <w:numId w:val="9"/>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Внедрение аналитики данных для мониторинга и оптимизации транспортных сетей (месяц 25-30)</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Запуск услуг в сельской местности и интеграция с существующими транспортными системами (31-36 месяцы)</w:t>
      </w:r>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этого этапа потребуется предполагаемый бюджет в размере</w:t>
      </w:r>
      <m:oMath>
        <m:r>
          <w:rPr>
            <w:rFonts w:ascii="Cambria Math" w:hAnsi="Cambria Math" w:cs="Times New Roman"/>
            <w:sz w:val="28"/>
            <w:szCs w:val="28"/>
          </w:rPr>
          <m:t>8million,primarilyfocusedondevelopinginfrastructureinruralareasandenhancingthetechnologyusedintransportationservices.</m:t>
        </m:r>
      </m:oMath>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Сроки: 37 месяцев и более</w:t>
      </w:r>
    </w:p>
    <w:p w:rsidR="00FF5C24" w:rsidRPr="006F5789" w:rsidRDefault="006F5789" w:rsidP="006F5789">
      <w:pPr>
        <w:numPr>
          <w:ilvl w:val="0"/>
          <w:numId w:val="11"/>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Вехи: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Создание программ технического обслуживания транспортных средств и зарядных станций (месяц 37-40)</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Постоянная оценка воздействия на окружающую среду и удовлетворенности пользователей (постоянно)</w:t>
      </w:r>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Распределение ресурсов:</w:t>
      </w:r>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Будут разработаны долгосрочные стратегии финансирования, включая модели подписки для пользователей и партнерства с местными органами власти. Предполагаемый бюджет</w:t>
      </w:r>
      <m:oMath>
        <m:r>
          <w:rPr>
            <w:rFonts w:ascii="Cambria Math" w:hAnsi="Cambria Math" w:cs="Times New Roman"/>
            <w:sz w:val="28"/>
            <w:szCs w:val="28"/>
          </w:rPr>
          <m:t>3mi</m:t>
        </m:r>
        <m:r>
          <w:rPr>
            <w:rFonts w:ascii="Cambria Math" w:hAnsi="Cambria Math" w:cs="Times New Roman"/>
            <w:sz w:val="28"/>
            <w:szCs w:val="28"/>
          </w:rPr>
          <m:t>llionannuallywillbeallocatedformaintenanceandupgrades.</m:t>
        </m:r>
      </m:oMath>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Придерживаясь этого поэтапного плана внедрения, заинтересованные стороны могут гарантировать, что каждый этап будет опираться на успехи и уроки, извлеченные из предыдущих этапов. Такой подход будет способствовать более плавному переходу к полностью интегрированной электрической транспортной сети по всему Узбекистану.</w:t>
      </w:r>
    </w:p>
    <w:p w:rsidR="00FF5C24" w:rsidRPr="006F5789" w:rsidRDefault="006F5789" w:rsidP="006F5789">
      <w:pPr>
        <w:numPr>
          <w:ilvl w:val="0"/>
          <w:numId w:val="13"/>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существенных проблем при внедрении электротранспортной сети в Узбекистане является необходимость обеспечения масштабируемости и адаптивности, особенно в сельской местности. Сельские регионы часто сталкиваются с уникальными транспортными проблемами, включая ограниченную инфраструктуру, низкую плотность населения и различные мощности по производству энергии. Поэтому крайне важно разработать стратегии, которые могут эффективно решать эти проблемы, обеспечивая при этом, чтобы преимущества транспорта на зеленой энергии распространялись на все сообщества.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Разработка модульной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подходов к повышению масштабируемости является внедрение модульной инфраструктуры, которую можно легко расширить по мере роста спроса. Например, зарядные станции могут быть спроектированы с возможностью добавления дополнительных точек зарядки по мере необходимости. Такая гибкость позволяет постепенно увеличивать емкость, не требуя значительных первоначальных инвестиций.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Использование местных ресурсов: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Сельские районы могут иметь уникальные возобновляемые источники энергии, которые можно использовать для транспорта. Например, регионы с обильным солнечным светом могут использовать солнечную энергию для зарядных станций, в то время как районы с постоянными ветровыми режимами могут использовать ветряные турбины. Интегрируя местные источники энергии в транспортную сеть, сельские регионы могут повысить энергетическую независимость и снизить зависимость от централизованных энергетических систем.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Взаимодействие с сообществом и обучение: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Привлечение местных сообществ имеет решающее значение для успеха инициатив по зеленому транспорту в сельской местности. Программы, обучающие местных жителей обслуживанию электромобилей и зарядной инфраструктуры, могут создавать рабочие места и способствовать развитию общественного интереса к проекту. Такое привлечение может помочь создать поддержку инициативы и обеспечить ее долгосрочную устойчивость.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Поэтапное внедрение в сельской местности: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Подобно городскому развертыванию, сельские районы могут выиграть от поэтапной стратегии внедрения. Начало с пилотных проектов в отдельных сельских общинах может помочь продемонстрировать осуществимость электротранспорта в этих регионах. Со временем успешные пилотные проекты могут быть расширены на соседние общины, создавая сеть услуг электротранспорта, которая улучшает связь.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Интеграция с существующими транспортными системами: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сельской местности интеграция электротранспорта с существующими транспортными сетями может помочь облегчить переход. Например, электробусы могут использоваться для соединения сельских общин с городскими центрами, предоставляя жителям доступ к основным услугам, а также сокращая выбросы парниковых газов. Эта интеграция может также включать партнерство с местными службами такси для создания бесперебойного транспортного опыта.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Стимулы для усыновления: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Предоставление стимулов жителям сельской местности для перехода на электромобили может способствовать их внедрению и расширению сети. Эти стимулы могут включать субсидии на покупку электромобилей, снижение расходов на зарядку или налоговые льготы для предприятий, инвестирующих в решения для электротранспорта. Сделав электромобили более доступными, сельские общины могут ощутить экономические и экологические преимущества экологически чистого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Использование технологий для обеспечения связи: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Достижения в области технологий также могут играть важную роль в повышении масштабируемости и расширении сетей электротранспорта в сельской местности. Мобильные приложения, которые предоставляют информацию в режиме реального времени о доступных зарядных станциях, доступности транспортных средств и планировании маршрутов, могут улучшить пользовательский опыт и способствовать принятию. Кроме того, использование технологии «транспорт-сеть» может позволить электромобилям вносить вклад в местную энергетическую сеть, еще больше интегрируя транспорт с производством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поэтапный план развертывания передовых решений в области зеленой энергетики в транспортном секторе Узбекистана закладывает основу для устойчивого и эффективного перехода на электротранспорт. Сосредоточившись на пилотных проектах в ключевых городах, установив четкие временные рамки и стратегии распределения ресурсов, а также обеспечив масштабируемость и расширение в сельских районах, Узбекистан может использовать потенциал возобновляемой энергии для создания более устойчивой и справедливой транспортной сети. По мере того, как страна принимает эти инновационные решения, она не только улучшит экологические условия, но и повысит качество жизни своих граждан, одновременно способствуя экономическому росту и энергетической независимости.</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Аналитика данных для улучшения обслуживания</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Мониторинг и оптимизация использования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эпоху, когда энергоэффективность и устойчивость стали жизненно важными факторами городского планирования и развития, интеграция аналитики данных в системы мониторинга энергии не просто полезна, но и необходима. В этом разделе обсуждается, как аналитика данных может контролировать потребление энергии и оптимизировать использование в транспортной сети Узбекистана, с акцентом на технологии, которые позволяют этим процессам и стратегиям минимизировать потери энергии при максимальной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Аналитика данных относится к систематическому вычислительному анализу данных, который может предоставить действенные идеи о моделях потребления энергии. В контексте транспортной сети Узбекистана аналитика данных играет решающую роль в понимании того, как потребляется энергия, где находятся неэффективные места и как улучшить общее использование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Во-первых, аналитика данных может отслеживать потребление энергии в режиме реального времени. Собирая данные из различных источников, включая электромобили (ЭМ), зарядные станции и транспортную инфраструктуру, заинтересованные стороны могут получить комплексное представление об использовании энергии. Например, если отслеживается парк электробусов, аналитика может выявить пиковые периоды использования, среднее потребление энергии на маршрут и общую эффективность парка. Затем эту информацию можно использовать для оптимизации расписания и планирования маршрутов, сокращая потери энергии во время простоя или на менее эффективных маршрутах.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предиктивная аналитика может играть важную роль в оптимизации энергопотребления. Анализируя исторические данные, можно выявить тенденции, которые информируют о будущих потребностях в энергии. Например, если данные показывают, что потребление энергии резко возрастает в определенное время дня или недели, можно внести коррективы для более эффективного управления этим спросом. Этот проактивный подход не только помогает сократить расходы, но и помогает сбалансировать нагрузку на энергосистему, что особенно важно в регионах, где энергоснабжение может быть ограничено.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одно применение аналитики данных — управление системами хранения энергии. Поскольку Узбекистан стремится интегрировать возобновляемые источники энергии, такие как солнечная и ветровая энергия, в свою транспортную сеть, возможность хранить энергию для последующего использования становится существенной. Аналитика данных может помочь спрогнозировать производство энергии из возобновляемых источников на основе погодных условий и тенденций использования, что позволяет более стратегически использовать накопленную энергию, когда спрос высок или возобновляемая генерация низкая.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Развитие технологий позволило осуществлять мониторинг потребления энергии в режиме реального времени с помощью таких инструментов, как датчики Интернета </w:t>
      </w:r>
      <w:r w:rsidRPr="006F5789">
        <w:rPr>
          <w:rFonts w:ascii="Times New Roman" w:eastAsia="Microsoft YaHei" w:hAnsi="Times New Roman" w:cs="Times New Roman"/>
          <w:noProof/>
          <w:sz w:val="28"/>
          <w:szCs w:val="28"/>
        </w:rPr>
        <w:lastRenderedPageBreak/>
        <w:t>вещей (IoT) и интеллектуальные сети. Датчики IoT — это устройства, которые можно встраивать в различные компоненты транспортной системы, включая транспортные средства, зарядные станции и инфраструктуру, для сбора данных об использовании энергии и других соответствующих показателей.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датчики IoT, установленные в электробусах, могут контролировать состояние аккумулятора, потребление энергии на километр и циклы зарядки. Эти данные могут передаваться в центральную систему, где они анализируются в режиме реального времени. Если конкретный автобус показывает значительное падение эффективности аккумулятора, техническое обслуживание может быть запланировано заранее, предотвращая более серьезные проблемы, которые могут привести к увеличению потребления энергии или, что еще хуже, к поломке. Это не только увеличивает долговечность транспортных средств, но и обеспечивает более надежную систему общественного транспорта, что необходимо для повсеместного внедрения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Помимо датчиков IoT, интеллектуальные сети играют важную роль в мониторинге и управлении энергией. В отличие от традиционных электрических сетей, которые обеспечивают односторонний поток электроэнергии от производителей к потребителям, интеллектуальные сети используют технологию цифровой связи для облегчения двустороннего взаимодействия между коммунальными службами и потребителями. Это позволяет улучшить управление и оптимизацию энергии, поскольку коммунальные службы могут реагировать на изменения спроса на энергию в режиме реального времени.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в периоды высокого спроса интеллектуальные сети могут автоматически регулировать распределение энергии для приоритетного распределения критически важной инфраструктуры, такой как больницы и службы экстренной помощи. Такая гибкость особенно важна в Узбекистане, где энергоснабжение может колебаться из-за различных факторов, включая сезонные изменения и зависимость от возобновляемых источников энергии. Интегрируя технологию интеллектуальных сетей, Узбекистан может повысить устойчивость своей транспортной сети и гарантировать, что энергия используется эффективно и действенно.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Минимизация энергетических отходов и максимизация эффективности являются основополагающими целями в развитии устойчивой транспортной сети. Для достижения этих целей можно использовать несколько стратегий, используя знания, полученные с помощью аналитики данных и передовых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эффективных стратегий является внедрение программ реагирования на спрос, которые поощряют потребителей сокращать или изменять потребление энергии в пиковые периоды в ответ на повременные тарифы или другие стимулы. В контексте общественного транспорта это может включать стимулирование пользователей электромобилей заряжать свои автомобили в непиковые часы, когда спрос на энергию ниже. Это не только помогает стабилизировать энергосистему, но и снижает общую стоимость электроэнергии для потребителей.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Другая стратегия заключается в инвестировании в энергоэффективные технологии для электромобилей. Сюда входят достижения в области аккумуляторных технологий, такие как литий-серные или твердотельные аккумуляторы, которые обладают потенциалом для обеспечения более длительных пробегов и более быстрой зарядки по сравнению с традиционными литий-ионными аккумуляторами. Чем эффективнее транспортное средство, тем меньше энергии тратится впустую во время работы, что приводит к снижению общего потребления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модернизация существующей транспортной инфраструктуры с использованием энергоэффективных технологий может дать существенные преимущества. Например, модернизация уличного освещения с помощью светодиодной технологии может радикально сократить потребление энергии, и эти сэкономленные средства можно перенаправить на финансирование инфраструктуры зарядки электромобилей. Аналогичным образом, включение энергоэффективных конструкций в новые транспортные проекты, такие как использование рекуперативных тормозных систем в электропоездах и автобусах, может еще больше повысить энергоэффективность.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кампании по повышению осведомленности общественности могут играть важную роль в продвижении энергосберегающего поведения среди пользователей транспортной сети. Просвещение общественности о преимуществах электромобилей, эффективных методах вождения и важности энергосбережения может способствовать формированию культуры устойчивого развития. Вовлекая сообщество, заинтересованные стороны могут поощрять пользователей к принятию поведения, способствующего энергоэффективности, например, совместное использование автомобилей, использование общественного транспорта и минимизация ненужных поездок.</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непрерывный мониторинг и оценка имеют важное значение для поддержания энергоэффективности в транспортных системах. Устанавливая ключевые показатели эффективности (KPI), связанные с потреблением энергии и эффективностью, заинтересованные стороны могут отслеживать прогресс с течением времени и принимать обоснованные решения о том, где можно внести улучшения. Этот итеративный процесс мониторинга, оценки и оптимизации может привести к транспортной сети, которая не только удовлетворяет энергетические потребности населения Узбекистана, но и делает это устойчивым и экологически безопасным образом.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интеграция аналитики данных в мониторинг и оптимизацию энергопотребления представляет собой важный шаг на пути к повышению устойчивости транспортной сети Узбекистана. Благодаря мониторингу в реальном времени с помощью датчиков IoT и интеллектуальных сетей заинтересованные стороны могут получить ценную информацию о моделях потребления энергии, что позволит более эффективно управлять ресурсами. Внедряя стратегии по минимизации потерь энергии и максимизации эффективности, Узбекистан </w:t>
      </w:r>
      <w:r w:rsidRPr="006F5789">
        <w:rPr>
          <w:rFonts w:ascii="Times New Roman" w:eastAsia="Microsoft YaHei" w:hAnsi="Times New Roman" w:cs="Times New Roman"/>
          <w:noProof/>
          <w:sz w:val="28"/>
          <w:szCs w:val="28"/>
        </w:rPr>
        <w:lastRenderedPageBreak/>
        <w:t>может проложить путь к более экологичному будущему в сфере транспорта, в конечном итоге способствуя достижению более широких целей устойчивого развития. Потенциал для улучшения управления энергопотреблением значителен, и поскольку Узбекистан продолжает инвестировать в передовые решения в области зеленой энергетики, роль аналитики данных, несомненно, будет иметь решающее значение в достижении этих целей.</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Анализ поведения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последние годы в транспортном секторе произошел значительный сдвиг в сторону принятия решений на основе данных, особенно с ростом популярности электромобилей и решений в области зеленой энергетики. Этот сдвиг касается не только самих транспортных средств, но и того, как мы понимаем и взаимодействуем с пользователями этих систем. Анализ поведения пользователей стал неотъемлемой частью оптимизации транспортных сетей, что позволяет улучшить предоставление услуг и в конечном итоге повысить удовлетворенность пользователей. В этом разделе мы рассмотрим, как аналитика данных может предоставить информацию о поведении и предпочтениях пользователей, роль этих пользовательских данных в улучшении проектирования и предоставления услуг, а также этические соображения, возникающие при сборе и использовании таких данных.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Аналитика данных включает в себя систематический вычислительный анализ наборов данных для выявления закономерностей, тенденций и взаимосвязей. В контексте транспорта аналитика данных может предоставить массу информации о поведении и предпочтениях пользователей. Например, используя данные из мобильных приложений, GPS и других цифровых платформ, поставщики транспортных услуг могут отслеживать, как пользователи взаимодействуют с их услугами. Сюда входят данные о частоте поездок, предпочтительных маршрутах, пиковом времени поездок и даже о типах транспортных средств, которые предпочитают пользователи.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 помощью передовых аналитических инструментов транспортные сети могут сегментировать пользователей по разным категориям на основе их поведения. Например, некоторые пользователи могут отдавать приоритет скорости и эффективности, в то время как другие могут быть больше обеспокоены расходами или воздействием на окружающую среду. Анализируя данные, поставщики могут идентифицировать эти сегменты и соответствующим образом адаптировать свои предложения. Например, если данные показывают, что значительное количество пользователей предпочитают электромобили из-за их меньшего воздействия на окружающую среду, поставщики транспортных услуг могут увеличить доступность электрических вариантов в этих областях.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Более того, алгоритмы машинного обучения могут использоваться для прогнозирования будущего поведения пользователя на основе исторических данных. Например, если пользователь часто ездит в определенный район в определенное время, система может предложить персонализированные маршруты или услуги, соответствующие его привычкам. Этот уровень персонализации не только улучшает </w:t>
      </w:r>
      <w:r w:rsidRPr="006F5789">
        <w:rPr>
          <w:rFonts w:ascii="Times New Roman" w:eastAsia="Microsoft YaHei" w:hAnsi="Times New Roman" w:cs="Times New Roman"/>
          <w:noProof/>
          <w:sz w:val="28"/>
          <w:szCs w:val="28"/>
        </w:rPr>
        <w:lastRenderedPageBreak/>
        <w:t>пользовательский опыт, но и поощряет более широкое использование экологически чистых транспортных вариантов, способствуя более устойчивой транспортной экосистеме.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данные социальных сетей также могут быть использованы для получения информации о настроениях и предпочтениях пользователей. Анализируя комментарии, обзоры и показатели вовлеченности, поставщики транспортных услуг могут понять, что пользователи ценят или не любят в их услугах. Этот цикл обратной связи имеет решающее значение для постоянного совершенствования, позволяя компаниям адаптироваться и развиваться на основе реального опыта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Роль пользовательских данных в улучшении дизайна и предоставления услуг огромна. Когда поставщики транспортных услуг имеют доступ к подробным данным о поведении пользователей, они могут принимать обоснованные решения, которые приводят к улучшению предложения услуг. Например, если данные показывают, что пользователи часто сталкиваются с задержками в часы пик, поставщики могут скорректировать графики обслуживания, чтобы лучше соответствовать спросу. Это не только повышает удовлетворенность пользователей, но и максимизирует эффективность транспортной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пользовательские данные могут информировать о разработке новых услуг. Если аналитика показывает растущую тенденцию среди пользователей, запрашивающих варианты транспортировки по требованию, поставщики могут изучить возможность внедрения услуг совместного использования поездок или микромобильности. Эти услуги могут быть особенно полезны в городских районах, где традиционный общественный транспорт может не в полной мере удовлетворять потребности пользователей. Используя пользовательские данные, компании могут внедрять инновации и расширять свои предложения услуг для лучшего соответствия предпочтениям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сфере электротранспорта пользовательские данные также могут играть важную роль в оптимизации расположения зарядных станций. Анализируя маршруты поездок и использование электромобилей, поставщики транспортных услуг могут определить, где зарядные станции больше всего нужны. Такое стратегическое размещение не только гарантирует пользователям электромобилей удобный доступ к зарядке, но и побуждает больше людей переходить на электромобили, что еще больше способствует достижению целей устойчивого развития.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основанные на данных идеи могут улучшить общий пользовательский опыт. Понимая предпочтения пользователей, поставщики транспортных услуг могут адаптировать коммуникационные и маркетинговые усилия для нахождения отклика у своей аудитории. Например, если аналитика показывает, что пользователи особенно заинтересованы в устойчивом развитии, поставщики могут подчеркнуть экологические преимущества использования электромобилей в своих сообщениях. Такой целенаправленный подход может привести к повышению вовлеченности и лояльности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Хотя преимущества использования пользовательских данных для улучшения транспортных услуг очевидны, важно учитывать этические соображения, связанные со сбором и использованием данных. Поскольку поставщики транспортных услуг собирают данные о поведении пользователей, они должны гарантировать, что делают это таким образом, чтобы уважать конфиденциальность пользователей и соответствовать соответствующим нормам.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важных этических проблем является информированное согласие. Пользователи должны быть осведомлены о том, какие данные собираются, как они будут использоваться и с кем ими будут делиться. Прозрачность является ключом к построению доверия между пользователями и поставщиками транспортных услуг. Если пользователи чувствуют, что их данные собираются и используются без их ведома или согласия, это может привести к краху доверия и в конечном итоге отпугнуть их от использования сервиса.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важным соображением является безопасность данных. Поставщики транспортных услуг должны внедрять надежные меры безопасности для защиты пользовательских данных от нарушений или несанкционированного доступа. Это включает использование шифрования, безопасных решений для хранения и регулярных аудитов для обеспечения безопасной обработки пользовательских данных. Утечка данных может иметь серьезные последствия не только для пользователей, но и для репутации поставщика транспортных услуг.</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существует проблема предвзятости данных. Если собранные данные не являются репрезентативными для всей популяции пользователей, это может привести к искаженным выводам и решениям, которые неточно отражают потребности всех пользователей. Например, если данные в основном собираются от городских пользователей, они могут упускать из виду предпочтения и поведение сельских пользователей. Поставщики транспортных услуг должны стремиться собирать разнообразные данные, которые охватывают весь спектр пользовательского опыта, чтобы избежать таких предвзятостей.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этические соображения также распространяются на то, как данные пользователей используются в маркетинговых и рекламных целях. Хотя целевой маркетинг может улучшить пользовательский опыт, он также может привести к инвазивным практикам, если с ним не обращаться должным образом. Поставщики транспортных услуг должны гарантировать, что их маркетинговые усилия не используют данные пользователей таким образом, который кажется манипулятивным или навязчивым. Достижение баланса между персонализированным маркетингом и уважением автономии пользователя имеет решающее значение.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понимание поведения пользователей, полученное в результате анализа данных, играет важную роль в формировании будущего транспортных сетей, особенно в контексте решений в области зеленой энергетики. Понимая предпочтения и поведение пользователей, поставщики транспортных услуг могут улучшить проектирование и предоставление услуг, что в </w:t>
      </w:r>
      <w:r w:rsidRPr="006F5789">
        <w:rPr>
          <w:rFonts w:ascii="Times New Roman" w:eastAsia="Microsoft YaHei" w:hAnsi="Times New Roman" w:cs="Times New Roman"/>
          <w:noProof/>
          <w:sz w:val="28"/>
          <w:szCs w:val="28"/>
        </w:rPr>
        <w:lastRenderedPageBreak/>
        <w:t>конечном итоге приведет к повышению удовлетворенности и вовлеченности пользователей. Однако не менее важно тщательно ориентироваться в этическом ландшафте сбора и использования данных. Отдавая приоритет прозрачности, безопасности и инклюзивности, поставщики транспортных услуг могут выстраивать доверительные и позитивные отношения со своими пользователями, прокладывая путь к более устойчивому и ориентированному на пользователя будущему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информации о поведении пользователей посредством аналитики данных — это не просто тенденция; это фундаментальный сдвиг, который может произвести революцию в разработке и предоставлении транспортных услуг. Поскольку Узбекистан стремится продвигать свои инициативы в области транспорта на основе зеленой энергии, принятие этой информации будет иметь решающее значение для достижения целей устойчивого развития и улучшения общего качества жизни его граждан. Используя данные ответственно и этично, поставщики транспортных услуг могут создать систему, которая не только удовлетворяет текущие потребности пользователей, но и предвосхищает будущие потребности, обеспечивая устойчивую и адаптивную транспортную сеть на долгие годы вперед.</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Прогностическое обслуживание и масштабируемость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Прогностическое обслуживание — это стратегия, направленная на повышение надежности и эффективности транспортных сетей путем прогнозирования времени проведения обслуживания. Этот подход имеет решающее значение для сокращения простоев, которые могут быть дорогостоящими и разрушительными. В транспортной системе, особенно в той, которая включает в себя передовые решения в области зеленой энергетики, минимизация простоев — это не просто поддержание работоспособности транспортных средств; это обеспечение бесперебойной и эффективной работы всей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Основная идея предиктивного обслуживания заключается в использовании аналитики данных для мониторинга состояния транспортных активов, таких как электромобили и зарядные станции. Анализируя данные, собранные с различных датчиков и систем мониторинга, транспортные органы могут предсказывать потенциальные сбои до того, как они произойдут. Этот проактивный подход контрастирует с традиционными стратегиями обслуживания, которые часто полагаются на фиксированные графики или реактивные меры, которые решают проблемы только после их возникновения.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наиболее существенных преимуществ предиктивного обслуживания является его потенциал для снижения затрат. Исследования показали, что предиктивное обслуживание может снизить затраты на обслуживание на 25–30 % по сравнению со стратегиями реактивного обслуживания. Это связано с тем, что обслуживание может выполняться только при необходимости, а не в заранее определенные интервалы, которые могут не соответствовать фактическому состоянию оборудования. В результате ресурсы могут распределяться более эффективно, что приводит к повышению эксплуатационной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Более того, предиктивное обслуживание способствует повышению надежности. Когда транспортные системы обслуживаются проактивно, вероятность неожиданных поломок значительно снижается. Для электромобилей это означает, что риск разрядки аккумулятора или возникновения технических неисправностей во время эксплуатации сведен к минимуму. Повышенная надежность не только улучшает опыт пользователей, но и способствует большему доверию общественности к электрическим транспортным системам. Если граждане знают, что транспортные средства хорошо обслуживаются и реже выходят из строя, они с большей вероятностью воспользуются вариантами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ключевым фактором является воздействие на окружающую среду. Обеспечивая оптимальную эффективность работы транспортных средств, предиктивное обслуживание может способствовать снижению потребления энергии и выбросов. Когда электромобили и зарядные станции находятся в пиковом состоянии, они могут работать лучше, что приводит к снижению потерь энергии и снижению воздействия на окружающую среду. В контексте Узбекистана, где целью является повышение устойчивого развития за счет решений в области зеленой энергетики, предиктивное обслуживание становится жизненно важным компонентом в достижении этих целей.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предиктивное обслуживание поддерживает масштабируемость транспортной сети. Поскольку Узбекистан продолжает развивать свою инфраструктуру электротранспорта, способность поддерживать большой парк транспортных средств и обширные зарядные станции становится все более важной. С предиктивным обслуживанием транспортные власти могут гарантировать, что у них есть необходимые системы для эффективного мониторинга и обслуживания растущей сети. Эта возможность имеет важное значение для удовлетворения растущего спроса на решения для электротранспорта и обеспечения их надежности и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важность предиктивного обслуживания в контексте транспортных сетей невозможно переоценить. Сокращая время простоя, повышая надежность и способствуя экологической устойчивости, предиктивное обслуживание является ключевой стратегией для повышения производительности электрических транспортных систем. Поскольку Узбекистан продвигается вперед со своими инициативами в области зеленой энергии, интеграция предиктивного обслуживания будет иметь решающее значение для реализации полного потенциала его электрической транспортной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эффективного масштабирования транспортной сети, особенно той, которая включает в себя передовые решения в области зеленой энергетики, необходимо использовать подходы, основанные на аналитике. Эти подходы включают использование данных для принятия обоснованных решений о распределении ресурсов, развитии инфраструктуры и оптимизации услуг. Используя передовые методы аналитики, транспортные власти могут лучше понять динамику сети и реализовать стратегии, способствующие росту при сохранении эффективности.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Одним из основных аналитических подходов к масштабированию транспортной сети является использование предиктивного моделирования. Предиктивное </w:t>
      </w:r>
      <w:r w:rsidRPr="006F5789">
        <w:rPr>
          <w:rFonts w:ascii="Times New Roman" w:eastAsia="Microsoft YaHei" w:hAnsi="Times New Roman" w:cs="Times New Roman"/>
          <w:noProof/>
          <w:sz w:val="28"/>
          <w:szCs w:val="28"/>
        </w:rPr>
        <w:lastRenderedPageBreak/>
        <w:t>моделирование подразумевает использование исторических данных для прогнозирования будущих результатов, что может быть особенно полезно для прогнозирования спроса на услуги электротранспорта. Например, анализируя закономерности пассажиропотока и потребления энергии, планировщики транспорта могут прогнозировать пиковые периоды спроса и соответствующим образом корректировать уровни обслуживания. Это гарантирует эффективное распределение ресурсов, предотвращая ситуации, когда в часы пик слишком мало транспортных средств или избыточная пропускная способность в часы непиковой нагрузки.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аналитика данных в реальном времени играет решающую роль в масштабировании транспортных сетей. С появлением Интернета вещей (IoT) транспортные системы могут собирать огромные объемы данных из различных источников, включая транспортные средства, зарядные станции и поведение пользователей. Анализируя эти данные в реальном времени, транспортные органы могут получить представление о производительности системы и потребностях пользователей. Например, если конкретная зарядная станция постоянно перегружена, органы могут быстро определить необходимость дополнительных станций в этом районе или принять меры по оптимизации существующих.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аналитика может помочь в выявлении тенденций и закономерностей, которые информируют о долгосрочном планировании. Например, анализируя данные о росте населения, развитии городов и изменениях в транспортных предпочтениях, власти могут принимать обоснованные решения о том, куда инвестировать в новую инфраструктуру. Это может включать расширение сетей зарядных станций в быстрорастущих районах или приоритетное развитие маршрутов электробусов в регионах с высоким спросом на общественный транспорт.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важным аспектом масштабирования транспортной сети является оптимизация графиков технического обслуживания с помощью аналитики. Используя аналитику данных для прогнозирования потребностей в техническом обслуживании, транспортные органы могут гарантировать, что транспортные средства и инфраструктура будут обслуживаться эффективно, не нарушая обслуживания. Это особенно важно по мере роста сети; хорошо обслуживаемая система может справиться с возросшим спросом, не ставя под угрозу надежность.</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Аналитика данных также позволяет интегрировать отзывы пользователей в дизайн услуг. Анализируя отзывы клиентов и модели использования, транспортные власти могут определять области для улучшения и адаптировать услуги для лучшего соответствия потребностям сообщества. Например, если данные показывают, что пользователи предпочитают определенные маршруты или типы транспортных средств, власти могут скорректировать свои предложения для повышения удовлетворенности пользователей и поощрения более широкого внедрения решений для электротранспорта.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следует отметить, что подходы, основанные на аналитике, являются неотъемлемой частью эффективного масштабирования транспортных сетей. Используя </w:t>
      </w:r>
      <w:r w:rsidRPr="006F5789">
        <w:rPr>
          <w:rFonts w:ascii="Times New Roman" w:eastAsia="Microsoft YaHei" w:hAnsi="Times New Roman" w:cs="Times New Roman"/>
          <w:noProof/>
          <w:sz w:val="28"/>
          <w:szCs w:val="28"/>
        </w:rPr>
        <w:lastRenderedPageBreak/>
        <w:t>прогнозное моделирование, анализ данных в реальном времени и понимание пользователей, транспортные органы могут принимать обоснованные решения, которые повышают производительность системы и удовлетворяют растущий спрос. Поскольку Узбекистан продолжает развивать свою инфраструктуру электротранспорта, принятие стратегий, основанных на данных, будет иметь важное значение для достижения устойчивого роста и обеспечения надежности его транспортных услуг.</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Успешное внедрение предиктивного обслуживания в транспортных системах может предоставить ценную информацию и послужить моделью для Узбекистана, поскольку он развивает свою собственную сеть электротранспорта. Несколько тематических исследований со всего мира иллюстрируют эффективность стратегий предиктивного обслуживания, демонстрируя, как они могут повысить надежность, сократить расходы и улучшить общую производительность системы.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ярких примеров является внедрение предиктивного обслуживания в лондонском метро. Лондонское метро использует передовую аналитику данных и технологию IoT для мониторинга состояния своих поездов и путей. Собирая данные с датчиков, размещенных на поездах и инфраструктуре, система может анализировать производительность в режиме реального времени и прогнозировать необходимость обслуживания. Этот проактивный подход привел к значительному сокращению сбоев в обслуживании, поскольку обслуживание выполняется до того, как проблемы перерастут в более серьезные. В результате лондонское метро достигло более высокой надежности и улучшило удовлетворенность клиентов.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один убедительный пример взят из транспортного сектора Сингапура, где Управление наземного транспорта успешно интегрировало предиктивное обслуживание в свои системы общественного транспорта. Используя аналитику данных для мониторинга состояния своих транспортных средств и инфраструктуры, агентство может предсказывать отказы и планировать техническое обслуживание до того, как они произойдут. Это позволило более эффективно использовать ресурсы и заметно сократить расходы на техническое обслуживание. Внедрение предиктивного обслуживания также продлило срок службы транспортных средств, гарантируя, что они будут оставаться работоспособными в течение более длительного времени, что особенно выгодно в густонаселенной городской среде.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сфере электромобилей Tesla стала пионером в использовании предиктивного обслуживания для повышения надежности своих автомобилей. Используя данные своего автопарка, Tesla может анализировать показатели производительности и выявлять потенциальные проблемы до того, как они повлияют на работу автомобиля. Такой подход не только повышает надежность автомобилей Tesla, но и улучшает общий опыт владения для клиентов. Способность компании предоставлять обновления по беспроводной связи и оповещения о техническом обслуживании является примером того, как основанные на данных знания могут использоваться для оптимизации процессов технического обслуживания и обеспечения оптимальной производительности.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В сфере общественного транспорта город Лос-Анджелес также добился успеха в стратегиях предиктивного обслуживания в своей системе метро. Внедрив расширенную аналитику для мониторинга автобусных парков и инфраструктуры, метро смогло прогнозировать потребности в обслуживании и оптимизировать маршруты на основе данных в реальном времени. Это привело к повышению надежности обслуживания и удовлетворенности клиентов, поскольку автобусы реже сталкиваются с неожиданными поломками или задержками.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Эти тематические исследования подчеркивают преобразующий потенциал предиктивного обслуживания в транспортных сетях. Принимая подходы, основанные на данных, транспортные органы могут повысить надежность системы, сократить расходы и улучшить общую производительность. Поскольку Узбекистан вступает на путь развития электрической транспортной сети, эти примеры служат ценными уроками о важности интеграции стратегий предиктивного обслуживания.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предиктивное обслуживание является важнейшим компонентом обеспечения надежности и эффективности транспортных сетей. Сокращая время простоя и повышая производительность системы, оно поддерживает масштабируемость решений для электротранспорта в Узбекистане. Благодаря подходам, основанным на аналитике, транспортные органы могут эффективно управлять ресурсами, прогнозировать спрос и оптимизировать графики обслуживания. Успешное внедрение предиктивного обслуживания в других регионах дает Узбекистану дорожную карту в его работе по достижению целей устойчивого развития с помощью передовых решений в области зеленой энергетики в сфере транспорта.</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Преимущества для общества</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Экономический рост и создание рабочих мест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экологически чистым энергетическим транспортным решениям является не только экологическим императивом, но и катализатором экономического роста и создания рабочих мест. Поскольку Узбекистан стремится модернизировать свой транспортный сектор, интеграция возобновляемых источников энергии, таких как солнечная и ветровая, наряду с достижениями в области технологий электромобилей, представляет собой массу экономических возможностей. В этом разделе эти возможности будут подробно рассмотрены с упором на создание рабочих мест в различных секторах, включая возобновляемые источники энергии, развитие инфраструктуры и технологии. Кроме того, будет рассмотрен потенциал партнерства с местными предприятиями, которое может еще больше усилить экономический рост в Узбекистане.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Ожидается, что переход на зеленую энергию в транспорте принесет значительные экономические выгоды. Согласно отчету Международного агентства по возобновляемым источникам энергии (IRENA), глобальный переход на возобновляемые источники энергии может создать до 24 миллионов рабочих мест к 2030 году. Для Узбекистана, с его стратегическим фокусом на устойчивом развитии, принятие решений </w:t>
      </w:r>
      <w:r w:rsidRPr="006F5789">
        <w:rPr>
          <w:rFonts w:ascii="Times New Roman" w:eastAsia="Microsoft YaHei" w:hAnsi="Times New Roman" w:cs="Times New Roman"/>
          <w:noProof/>
          <w:sz w:val="28"/>
          <w:szCs w:val="28"/>
        </w:rPr>
        <w:lastRenderedPageBreak/>
        <w:t>в области зеленой энергии в транспорте может способствовать аналогичному росту рабочих мест и экономическому оживлению.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Одна из ключевых экономических возможностей заключается в развитии нового рынка электромобилей (ЭМ) и необходимой инфраструктуры для их поддержки. По мере роста спроса на электротранспорт будет наблюдаться соответствующий рост производства и сборки ЭМ. Это может привести к созданию местных производственных предприятий, которые не только создадут рабочие места, но и будут стимулировать смежные отрасли, такие как поставщики запчастей и услуги по техническому обслуживанию. Автомобильный сектор в сочетании с зелеными технологиями может стать существенным фактором в ВВП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строительство зарядных станций и обслуживание систем возобновляемой энергии потребует квалифицированной рабочей силы. Развитие общенациональной сети зарядных станций, работающих на солнечной или ветровой энергии, потребует не только установки самих станций, но и постоянного обслуживания и модернизации. Это создает возможности для трудоустройства в области электротехники, строительства и управления операциями.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внедрение решений в области зеленой энергетики в транспорте также может привести к снижению затрат на энергию. По мере того, как возобновляемые источники энергии становятся все более распространенными, зависимость от импортируемого ископаемого топлива уменьшается, что может помочь стабилизировать местную экономику. Экономия, полученная за счет снижения затрат на топливо, может быть реинвестирована в экономику, создавая положительную обратную связь, которая стимулирует дальнейший рост.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на экологически чистую энергетическую транспортировку в Узбекистане готов создать рабочие места в нескольких ключевых секторах. Сектор возобновляемой энергетики, включающий солнечные, ветровые и гибридные системы, находится на переднем крае этого создания рабочих мест. По данным Министерства энергетики Узбекистана, страна имеет значительный потенциал для солнечной и ветровой энергии, который при использовании может предоставить многочисленные возможности для трудоустройства.</w:t>
      </w:r>
    </w:p>
    <w:p w:rsidR="00FF5C24" w:rsidRPr="006F5789" w:rsidRDefault="006F5789" w:rsidP="006F5789">
      <w:pPr>
        <w:numPr>
          <w:ilvl w:val="0"/>
          <w:numId w:val="1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Сектор возобновляемой энергетики </w:t>
      </w:r>
      <w:r w:rsidRPr="006F5789">
        <w:rPr>
          <w:rFonts w:ascii="Times New Roman" w:eastAsia="Microsoft YaHei" w:hAnsi="Times New Roman" w:cs="Times New Roman"/>
          <w:noProof/>
          <w:sz w:val="28"/>
          <w:szCs w:val="28"/>
        </w:rPr>
        <w:t>: спрос на квалифицированных рабочих в секторе возобновляемой энергетики растет. Рабочие места в этой области включают в себя роли в исследованиях и разработках, управлении проектами, установке и обслуживании систем возобновляемой энергии. Например, установка солнечных панелей является трудоемкой и требует квалифицированных специалистов, которые могут гарантировать, что системы установлены правильно и работают эффективно. По данным Ассоциации индустрии солнечной энергетики (SEIA), только солнечная промышленность создала более 250 000 рабочих мест в Соединенных Штатах, что может служить моделью для устремлений Узбекистана.</w:t>
      </w:r>
    </w:p>
    <w:p w:rsidR="00FF5C24" w:rsidRPr="006F5789" w:rsidRDefault="006F5789" w:rsidP="006F5789">
      <w:pPr>
        <w:numPr>
          <w:ilvl w:val="0"/>
          <w:numId w:val="1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Развитие инфраструктуры </w:t>
      </w:r>
      <w:r w:rsidRPr="006F5789">
        <w:rPr>
          <w:rFonts w:ascii="Times New Roman" w:eastAsia="Microsoft YaHei" w:hAnsi="Times New Roman" w:cs="Times New Roman"/>
          <w:noProof/>
          <w:sz w:val="28"/>
          <w:szCs w:val="28"/>
        </w:rPr>
        <w:t xml:space="preserve">: Инфраструктура играет решающую роль в поддержке инициатив в области зеленой энергетики. Строительство новых дорог, зарядных </w:t>
      </w:r>
      <w:r w:rsidRPr="006F5789">
        <w:rPr>
          <w:rFonts w:ascii="Times New Roman" w:eastAsia="Microsoft YaHei" w:hAnsi="Times New Roman" w:cs="Times New Roman"/>
          <w:noProof/>
          <w:sz w:val="28"/>
          <w:szCs w:val="28"/>
        </w:rPr>
        <w:lastRenderedPageBreak/>
        <w:t>станций и объектов возобновляемой энергетики создаст тысячи рабочих мест в строительстве и инжиниринге. Развитие инфраструктуры также связано с экономическим ростом, поскольку улучшение транспортных сетей облегчает торговлю и коммерцию. Всемирный банк отметил, что инвестиции в инфраструктуру оказывают высокий мультипликативный эффект на экономику, часто приводя к созданию рабочих мест в различных секторах.</w:t>
      </w:r>
    </w:p>
    <w:p w:rsidR="00FF5C24" w:rsidRPr="006F5789" w:rsidRDefault="006F5789" w:rsidP="006F5789">
      <w:pPr>
        <w:numPr>
          <w:ilvl w:val="0"/>
          <w:numId w:val="15"/>
        </w:numPr>
        <w:spacing w:after="0" w:line="288" w:lineRule="auto"/>
        <w:ind w:left="0" w:firstLine="0"/>
        <w:rPr>
          <w:rFonts w:ascii="Times New Roman" w:hAnsi="Times New Roman" w:cs="Times New Roman"/>
          <w:sz w:val="28"/>
          <w:szCs w:val="28"/>
        </w:rPr>
      </w:pPr>
      <w:r w:rsidRPr="006F5789">
        <w:rPr>
          <w:rFonts w:ascii="Times New Roman" w:eastAsia="Microsoft YaHei" w:hAnsi="Times New Roman" w:cs="Times New Roman"/>
          <w:b/>
          <w:noProof/>
          <w:sz w:val="28"/>
          <w:szCs w:val="28"/>
        </w:rPr>
        <w:t xml:space="preserve">Технологический сектор </w:t>
      </w:r>
      <w:r w:rsidRPr="006F5789">
        <w:rPr>
          <w:rFonts w:ascii="Times New Roman" w:eastAsia="Microsoft YaHei" w:hAnsi="Times New Roman" w:cs="Times New Roman"/>
          <w:noProof/>
          <w:sz w:val="28"/>
          <w:szCs w:val="28"/>
        </w:rPr>
        <w:t>: Технологический сектор может получить значительную выгоду от перехода на экологически чистую транспортировку энергии. Достижения в области технологий аккумуляторов, интеллектуальных сетевых систем и технологий электромобилей потребуют рабочей силы, квалифицированной в этих областях. Университеты и технические институты в Узбекистане могут сыграть важную роль в подготовке рабочей силы для этих новых технологий посредством специализированных программ обучения и партнерства с лидерами отрасли.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важнейших факторов максимизации экономических выгод от проектов по транспортировке зеленой энергии является развитие партнерских отношений с местными предприятиями. Эти партнерства могут помочь стимулировать местную экономику и гарантировать, что выгоды от таких проектов будут ощущаться во всем сообществе.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Местные предприятия могут играть значительную роль в цепочке поставок для проектов возобновляемой энергии. Например, местные производители могут производить компоненты для солнечных панелей или ветряных турбин, снижая затраты и повышая эффективность. Используя местные ресурсы и рабочую силу, Узбекистан может повысить свою экономическую устойчивость и создать рабочие места в различных секторах.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сотрудничество между государственными структурами и частными компаниями может способствовать инвестициям в развитие инфраструктуры. Государственно-частное партнерство (ГЧП) может играть важную роль в финансировании проектов, разделении рисков и использовании экспертных знаний. Например, партнерство между правительством и частной компанией по возобновляемым источникам энергии может привести к быстрому развертыванию зарядных станций в городских и сельских районах, обеспечивая доступность и удобство для пользователей.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местные предприятия могут предоставлять дополнительные услуги, которые улучшают пользовательский опыт экологически чистого транспорта. Например, магазины и кафе на зарядных станциях могут привлекать клиентов, пока они ждут, пока их транспортные средства зарядятся. Это не только создает рабочие места в сфере услуг, но и стимулирует экономическую активность в прилегающих районах.</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Более того, развитие местной предпринимательской экосистемы вокруг зеленой энергии может привести к инновационным решениям, адаптированным к конкретным потребностям транспортного сектора Узбекистана. Могут появиться стартапы, ориентированные на обслуживание электромобилей, переработку аккумуляторов и </w:t>
      </w:r>
      <w:r w:rsidRPr="006F5789">
        <w:rPr>
          <w:rFonts w:ascii="Times New Roman" w:eastAsia="Microsoft YaHei" w:hAnsi="Times New Roman" w:cs="Times New Roman"/>
          <w:noProof/>
          <w:sz w:val="28"/>
          <w:szCs w:val="28"/>
        </w:rPr>
        <w:lastRenderedPageBreak/>
        <w:t>системы управления энергией, что будет способствовать созданию рабочих мест и экономической диверсификации.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Экономический рост и создание рабочих мест в результате проектов по транспортировке зеленой энергии выходят за рамки простого показателя занятости. Эти инициативы могут привести к более широким общественным выгодам, включая улучшение общественного благосостояния и энергетической независимости.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Уменьшая зависимость от импортируемого ископаемого топлива, решения в области зеленой энергетики могут повысить энергетическую безопасность Узбекистана. Более самодостаточный энергетический ландшафт позволяет стране контролировать свои расходы на энергию и снижать уязвимость к колебаниям мирового рынка. Эта независимость может стать значительным преимуществом для экономической стабильности и роста.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польза для здоровья, связанная с уменьшением загрязнения воздуха от сжигания ископаемого топлива, может привести к снижению расходов на здравоохранение и повышению качества жизни граждан. Исследования показали, что более чистый воздух напрямую коррелирует с улучшением показателей общественного здравоохранения, что может повысить производительность и сократить прогулы рабочей силы. В результате инвестиции в экологически чистый транспорт могут принести долгосрочные экономические выгоды, способствуя более здоровому и производительному населению.</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Социальные последствия инициатив в области зеленой энергетики также заметны. По мере того, как сообщества вовлекаются в эти проекты и инвестируют в них, социальная сплоченность может быть усилена. Местное участие в проектах по возобновляемой энергии может способствовать возникновению чувства собственности и гордости за устойчивые практики, что приводит к повышению устойчивости и сотрудничества сообщества.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следует отметить, что экономические возможности, создаваемые проектами по транспортировке зеленой энергии в Узбекистане, существенны. С потенциалом создания рабочих мест в секторах возобновляемой энергии, развития инфраструктуры и технологий переход к устойчивым транспортным системам обещает усилить экономический рост. Партнерство с местными предприятиями может еще больше усилить эти преимущества, гарантируя, что положительное влияние инициатив в области зеленой энергии будет широко ощущаться во всем сообществе. Поскольку Узбекистан принимает этот переход к более зеленому будущему, долгосрочные выгоды для общественного благосостояния, энергетической независимости и экономической стабильности, несомненно, проложат путь к устойчивой и процветающей стране.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Инвестирование в экологически чистые транспортные решения — это не просто экологическая ответственность, но и стратегическая экономическая возможность, которая может переопределить будущее Узбекистана. Используя силу возобновляемой энергии и способствуя развитию местных партнерств, Узбекистан может стать лидером </w:t>
      </w:r>
      <w:r w:rsidRPr="006F5789">
        <w:rPr>
          <w:rFonts w:ascii="Times New Roman" w:eastAsia="Microsoft YaHei" w:hAnsi="Times New Roman" w:cs="Times New Roman"/>
          <w:noProof/>
          <w:sz w:val="28"/>
          <w:szCs w:val="28"/>
        </w:rPr>
        <w:lastRenderedPageBreak/>
        <w:t>в области устойчивого транспорта, создавая более светлое будущее для будущих поколений.</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Улучшение общественного здравоохранения и качества жизни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Пересечение общественного здравоохранения и качества жизни с транспортными системами становится все более актуальным, особенно в контексте решений в области зеленой энергетики. Поскольку города по всему миру, включая Узбекистан, борются с загрязнением воздуха и неблагоприятными последствиями традиционного транспорта на основе ископаемого топлива, необходимость перехода к более чистым альтернативам становится настоятельной. В этом разделе мы проанализируем преимущества для здоровья от снижения загрязнения воздуха и улучшения транспортных систем, обсудим роль решений в области зеленой энергетики в повышении качества жизни сообществ и выделим долгосрочные последствия для общественного здоровья и благополучия.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Загрязнение воздуха является критической проблемой общественного здравоохранения во многих городских районах, и Узбекистан не является исключением. При значительной зависимости от транспортных средств, работающих на ископаемом топливе, выбросы от этих транспортных средств способствуют ухудшению качества воздуха, что связано с множеством проблем со здоровьем. По данным Всемирной организации здравоохранения (ВОЗ), загрязнение воздуха является причиной приблизительно 7 миллионов смертей ежегодно во всем мире, причем около 4,2 миллиона смертей связаны с загрязнением окружающего (наружного) воздуха. В таких городах Узбекистана, как Ташкент и Самарканд, часто наблюдается смог и высокий уровень твердых частиц, что может привести к проблемам с дыханием, сердечно-сосудистым заболеваниям и другим серьезным состояниям здоровья.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экологически чистым энергетическим транспортным решениям, таким как электромобили (ЭМ), работающие на возобновляемых источниках энергии, может значительно сократить вредные выбросы. Например, исследования показали, что электромобили производят нулевые выбросы выхлопных газов, что означает, что они не выбрасывают в атмосферу загрязняющие вещества, такие как оксиды азота (NOx), летучие органические соединения (ЛОС) и твердые частицы (ТЧ). Это сокращение выбросов может привести к измеримому улучшению качества воздуха. Исследование Международного совета по чистому транспорту (ICCT) показало, что переход на электромобили в крупных городах может сократить выбросы парниковых газов до 80% к 2050 году, способствуя более здоровой окружающей среде.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Более того, улучшенные транспортные системы, включающие решения в области зеленой энергетики, могут улучшить общественное здоровье, поощряя активные виды транспорта, такие как ходьба и езда на велосипеде. Города, которые инвестируют в велосипедные дорожки и инфраструктуру, удобную для пешеходов, поощряют жителей заниматься физической активностью, которая необходима для поддержания здорового образа жизни. ВОЗ рекомендует взрослым заниматься не менее 150 минут аэробной активностью средней интенсивности каждую неделю. Предоставляя более безопасные и </w:t>
      </w:r>
      <w:r w:rsidRPr="006F5789">
        <w:rPr>
          <w:rFonts w:ascii="Times New Roman" w:eastAsia="Microsoft YaHei" w:hAnsi="Times New Roman" w:cs="Times New Roman"/>
          <w:noProof/>
          <w:sz w:val="28"/>
          <w:szCs w:val="28"/>
        </w:rPr>
        <w:lastRenderedPageBreak/>
        <w:t>доступные маршруты для пешеходов и велосипедистов, сообщества могут способствовать формированию более здоровых привычек и снижению распространенности заболеваний, связанных с образом жизни, таких как ожирение и диабет.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было показано, что снижение загрязнения воздуха коррелирует с более низкими расходами на здравоохранение. Отчет Американской ассоциации легких показывает, что на каждый доллар, инвестированный в инициативы по чистому воздуху, можно получить около 30 долларов экономии на здравоохранении. Эта экономическая перспектива имеет решающее значение для политиков в Узбекистане, поскольку она подчеркивает потенциальные финансовые выгоды от инвестирования в решения по транспортировке зеленой энергии. Сокращая расходы на здравоохранение, связанные с болезнями, связанными с загрязнением воздуха, правительство может направлять ресурсы на другие неотложные сферы, такие как образование и инфраструктура.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в области зеленой энергетики, особенно в транспортном секторе, могут значительно улучшить качество жизни сообществ в Узбекистане. Одним из наиболее значительных улучшений является снижение шумового загрязнения. Традиционные транспортные средства, работающие на двигателях внутреннего сгорания, известны своим громким и раздражающим уровнем шума, который может быть особенно раздражающим в густонаселенных городских районах. Электромобили, с другой стороны, работают гораздо тише, что обеспечивает более спокойную обстановку для жителей. Исследование Европейской комиссии показало, что электромобили могут снизить уровень шума до 10 децибел, значительно улучшая слуховой ландшафт городов.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решения в области зеленой энергетики могут способствовать социальной справедливости за счет улучшения доступа к транспорту. Во многих городских районах малообеспеченные сообщества часто сталкиваются со значительными препятствиями для мобильности из-за отсутствия надежных и доступных вариантов транспорта. Инвестируя в электрические системы общественного транспорта, такие как электрические автобусы или трамваи, города могут обеспечить равный доступ к мобильности для всех жителей, независимо от их социально-экономического статуса. Такая повышенная доступность может привести к лучшим возможностям трудоустройства, образования и доступа к здравоохранению, в конечном итоге повышая общее качество жизни для малообеспеченных слоев населения.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Кроме того, внедрение экологически чистых транспортных решений может способствовать формированию чувства гордости и участия в сообществе. По мере того, как города внедряют более устойчивые практики, жители могут чувствовать большую связь со своей средой и чувство ответственности за ее сохранение. Такие инициативы, как программы совместного использования велосипедов в сообществе или приложения для совместного использования автомобилей, могут способствовать социальному </w:t>
      </w:r>
      <w:r w:rsidRPr="006F5789">
        <w:rPr>
          <w:rFonts w:ascii="Times New Roman" w:eastAsia="Microsoft YaHei" w:hAnsi="Times New Roman" w:cs="Times New Roman"/>
          <w:noProof/>
          <w:sz w:val="28"/>
          <w:szCs w:val="28"/>
        </w:rPr>
        <w:lastRenderedPageBreak/>
        <w:t>взаимодействию и вовлечению сообщества, что приводит к более прочным социальным связям между жителями.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Другим аспектом качества жизни, который часто упускается из виду, является психологическое благополучие членов сообщества. Исследования показали, что доступ к зеленым зонам и чистой окружающей среде может значительно улучшить психическое здоровье. Снижение уровня загрязнения воздуха и шума способствует созданию более спокойной атмосферы, позволяя жителям наслаждаться активным отдыхом без стрессовых факторов, связанных с традиционными транспортными системами. Исследование, опубликованное в журнале «Environmental Health Perspectives», показало, что люди, живущие в районах с лучшим качеством воздуха, сообщают о более высоком уровне удовлетворенности жизнью и более низком уровне стресса и тревоги.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Долгосрочные последствия перехода на экологически чистые транспортные решения в Узбекистане глубоки и многогранны. Как обсуждалось ранее, улучшение качества воздуха и сокращение выбросов могут привести к значительным преимуществам для здоровья, включая снижение показателей респираторных заболеваний, сердечно-сосудистых проблем и общей смертности. Кроме того, снижение шумового загрязнения может способствовать улучшению результатов в области психического здоровья, что еще больше повышает общественное благосостояние.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важнейших аспектов долгосрочного общественного здравоохранения является концепция справедливости в области здравоохранения. Обеспечивая всем сообществам доступ к экологически чистому транспорту, Узбекистан может работать над сокращением неравенства в области здравоохранения. Уязвимые слои населения, часто проживающие в районах с более высоким уровнем загрязнения, непропорционально сильно страдают от негативного воздействия на здоровье традиционных транспортных систем. Отдавая приоритет решениям в области экологически чистой энергии, правительство может помочь преодолеть этот разрыв и создать более здоровую среду для всех жителей.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устойчивость результатов в области здравоохранения напрямую связана с доступностью вариантов экологически чистого транспорта. Поскольку все больше людей переходят на электромобили и используют общественный транспорт, работающий на возобновляемой энергии, коллективное сокращение выбросов будет иметь долгосрочный эффект на окружающую среду. Это, в свою очередь, способствует усилиям по смягчению последствий изменения климата, которые необходимы для обеспечения стабильной и здоровой планеты для будущих поколений. Исследования Межправительственной группы экспертов по изменению климата (МГЭИК) показывают, что сокращение выбросов парниковых газов путем перехода на более чистые источники энергии может значительно снизить серьезность рисков для здоровья, связанных с климатом, таких как заболевания, связанные с жарой, угрозы продовольственной безопасности и распространение инфекционных заболеваний.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Помимо преимуществ для окружающей среды и здоровья, нельзя недооценивать экономические последствия решений в области транспорта на основе зеленой энергии. Переход к чистому транспорту может создать новые рабочие места в различных секторах, включая возобновляемую энергетику, технологии и развитие инфраструктуры. Согласно отчету Международного агентства по возобновляемым источникам энергии (IRENA), переход к возобновляемым источникам энергии может создать до 24 миллионов рабочих мест во всем мире к 2030 году. В Узбекистане это может означать рост местной экономики и повышение уровня занятости для жителей, что будет способствовать общему благосостоянию 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решения в области зеленой энергетики могут способствовать инновациям и технологическому прогрессу. Инвестируя в исследования и разработки в области технологий электромобилей, инфраструктуры для зарядки и интеллектуальных транспортных систем, Узбекистан может позиционировать себя как лидера в области устойчивых транспортных решений. Это не только имеет потенциал для привлечения иностранных инвестиций, но и поощряет местных предпринимателей к инновациям и созданию новых бизнес-возможностей, повышая экономическую устойчивость и жизнеспособность общества.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Наконец, долгосрочные последствия решений по транспортировке на основе зеленой энергии выходят за рамки общественного здравоохранения и экономических выгод. Они охватывают более широкое видение устойчивого и пригодного для жизни будущего. Поскольку сообщества принимают более чистые варианты транспортировки, они могут развивать культуру устойчивости, которая находит отклик у жителей и будущих поколений. Этот культурный сдвиг может способствовать охране окружающей среды, побуждая людей отдавать приоритет устойчивым практикам в своей повседневной жизни, от сокращения отходов до поддержки местного бизнеса.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принятие экологически чистых энергетических транспортных решений в Узбекистане открывает путь к улучшению общественного здравоохранения и качества жизни для сообществ. Снижая загрязнение воздуха, улучшая транспортные системы и способствуя социальной справедливости, эти решения могут создать более здоровую среду для всех жителей. Долгосрочные последствия для общественного здравоохранения и благополучия — от снижения распространенности заболеваний до улучшения психического здоровья — подчеркивают необходимость приоритетности инициатив в области устойчивой транспортировки. По мере того, как Узбекистан продвигается вперед в своей программе зеленой энергетики, потенциал для более здорового, более справедливого и яркого будущего становится все более достижимым.</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Повышение энергетической независимости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Концепция энергетической независимости все больше становится основополагающим аспектом национальной безопасности и экономической стабильности для стран по всему миру, включая Узбекистан. Поскольку страна борется с проблемами, вызванными изменением климата, экономической нестабильностью и зависимостью от импортируемого ископаемого топлива, переход к решениям в области </w:t>
      </w:r>
      <w:r w:rsidRPr="006F5789">
        <w:rPr>
          <w:rFonts w:ascii="Times New Roman" w:eastAsia="Microsoft YaHei" w:hAnsi="Times New Roman" w:cs="Times New Roman"/>
          <w:noProof/>
          <w:sz w:val="28"/>
          <w:szCs w:val="28"/>
        </w:rPr>
        <w:lastRenderedPageBreak/>
        <w:t>зеленой энергетики становится критически важным путем. В этом разделе будет рассмотрено, как решения в области зеленой энергетики могут снизить зависимость от импортируемого ископаемого топлива, подчеркнута роль местного производства энергии в повышении энергетической независимости и рассмотрены геополитические и экономические преимущества достижения энергетической самодостаточности.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последние годы многие страны, включая Узбекистан, столкнулись с суровой реальностью колебаний мировых цен на нефть и экологическими последствиями, связанными с добычей и потреблением ископаемого топлива. Зависимость от импортируемого ископаемого топлива не только создает финансовое бремя, но и делает страны уязвимыми к внешним потрясениям, включая геополитическую напряженность и торговые споры. Переход к решениям в области зеленой энергетики предлагает жизнеспособную альтернативу для смягчения этих проблем.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Решения в области зеленой энергетики охватывают возобновляемые источники энергии, такие как солнечная, ветровая, гидроэнергия и биомасса. Используя эти ресурсы, Узбекистан может значительно снизить свою зависимость от импортируемого ископаемого топлива. Например, страна благословлена богатым потенциалом солнечной энергии из-за своего географического положения, характеризующегося высоким уровнем солнечного излучения. По данным Международного агентства по возобновляемым источникам энергии (IRENA), Узбекистан имеет потенциал для генерации более 100 гигаватт (ГВт) солнечной энергии, что может легко удовлетворить энергетические потребности страны и сократить потребность в импортируемой нефти и газе.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ветроэнергетика является еще одним перспективным направлением для изучения Узбекистаном. Потенциал ветроэнергетики в Узбекистане оценивается примерно в 60 ГВт, особенно в таких регионах, как пустыня Кызылкум, где скорости ветра благоприятны для выработки энергии. Инвестируя в инфраструктуру ветроэнергетики, Узбекистан может диверсифицировать свой энергетический портфель и повысить устойчивость к перебоям в поставках ископаемого топлива.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Помимо солнечной и ветровой энергии, биоэнергетика представляет собой еще одну возможность для снижения зависимости от импортируемого ископаемого топлива. Узбекистан имеет богатый сельскохозяйственный ландшафт, производящий значительные сельскохозяйственные отходы, которые могут быть преобразованы в биотопливо. Использование местной биомассы не только снижает зависимость от импорта, но и добавляет ценность сельскохозяйственному сектору, создавая новые рынки для фермеров.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Экономические последствия снижения зависимости от импортируемого ископаемого топлива существенны. По данным Всемирного банка, Узбекистан потратил около 1,8 млрд долларов на импорт энергии в 2020 году. Перейдя на решения в области зеленой энергетики, страна могла бы перенаправить эти средства на внутренние энергетические инвестиции, развитие инфраструктуры и социальные программы, что привело бы к повышению уровня жизни ее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Местное производство энергии имеет решающее значение для укрепления энергетической независимости, поскольку позволяет странам эффективно использовать свои природные ресурсы. Развивая местные проекты в области возобновляемой энергии, Узбекистан может создать самодостаточную энергетическую экосистему, которая сведет к минимуму свою зависимость от внешних источников.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Интеграция систем возобновляемой энергии в энергобаланс Узбекистана дает значительные преимущества. Во-первых, она позволяет использовать децентрализованную модель производства энергии, что может повысить энергетическую безопасность. Благодаря локальному производству энергии сообщества могут стать менее уязвимыми к колебаниям на мировых энергетических рынках. Например, сельские районы могут использовать солнечные батареи и ветряные турбины для питания местных домов и предприятий, что снижает необходимость транспортировки энергии на большие расстояния и связанные с этим расходы.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местное производство энергии может стимулировать экономический рост за счет создания рабочих мест. По мере расширения сектора возобновляемой энергии будет расти спрос на квалифицированную рабочую силу в таких областях, как производство, установка и обслуживание систем возобновляемой энергии. Этот сдвиг может привести к созданию тысяч рабочих мест, способствуя повышению уровня занятости в стране и укреплению экономики.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Местное производство энергии также соответствует целям устойчивого развития, способствуя сохранению окружающей среды и социальной справедливости. Отдавая приоритет местным энергетическим решениям, Узбекистан может сократить выбросы парниковых газов и улучшить качество воздуха, в конечном итоге способствуя здоровью и благополучию своего населения. Кроме того, сосредоточение на местных ресурсах может расширить возможности сообществ, вовлекая их в процессы принятия энергетических решений, способствуя чувству собственности и ответственности за свое энергетическое будущее.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развитие технологий играет решающую роль в повышении местного производства энергии. Инновации в области хранения энергии, такие как батареи и другие технологии хранения, позволяют лучше управлять поставками возобновляемой энергии. Объединив солнечные, ветровые и накопительные системы, Узбекистан может создать устойчивую энергетическую сеть, которая будет удовлетворять потребности населения, минимизируя при этом зависимость от импортного топлива.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Достижение энергетической самодостаточности представляет многочисленные геополитические и экономические преимущества для Узбекистана. Сокращая зависимость от импортируемого ископаемого топлива, страна может повысить свою энергетическую безопасность и получить больший контроль над своими энергетическими ресурсами. Этот сдвиг может помочь оградить Узбекистан от геополитической напряженности, которая часто возникает из-за энергетической зависимости.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Например, страны, которые в значительной степени зависят от импортируемого ископаемого топлива, могут оказаться во власти иностранных держав, контролирующих поставки энергии. Энергетическая самодостаточность позволяет Узбекистану проводить независимую внешнюю политику, уменьшая рычаги, которые другие страны могут иметь на его политические и экономические решения. Развивая свой сектор возобновляемой энергии, Узбекистан может укрепить свою национальную безопасность и снизить уязвимость к перебоям в поставках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 экономической точки зрения, энергетическая самодостаточность может привести к существенной экономии затрат. Производя энергию внутри страны, Узбекистан может стабилизировать цены на энергоносители, защищая себя от волатильности мировых рынков. Эта стабильность может привлечь иностранные инвестиции и побудить местный бизнес процветать, поскольку предсказуемые затраты на энергоносители способствуют благоприятной деловой среде.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энергетическая самодостаточность может способствовать региональному сотрудничеству и интеграции. Поскольку соседние страны также переходят на возобновляемые источники энергии, Узбекистан может позиционировать себя как лидера на энергетическом рынке Центральной Азии. Экспортируя излишки возобновляемой энергии в соседние страны, Узбекистан может не только получать доход, но и укреплять дипломатические связи и региональное партнерство.</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на возобновляемые источники энергии также может повысить репутацию Узбекистана на мировой арене. Придерживаясь решений в области зеленой энергетики и демонстрируя прогресс на пути к энергетической независимости, Узбекистан может привлечь международную поддержку и инвестиции, позиционируя себя как прогрессивную страну, которая ставит во главу угла устойчивость и охрану окружающей среды.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заключение, путь к повышению энергетической независимости посредством решений в области зеленой энергетики представляет собой многогранную возможность для Узбекистана. Снижая зависимость от импортируемого ископаемого топлива, увеличивая местное производство энергии и используя геополитические и экономические преимущества энергетической самодостаточности, Узбекистан может проложить путь к устойчивому будущему. Переход к зеленой энергетике — это не просто экологический императив; это стратегическая необходимость, которая может способствовать экономическому росту, повышению энергетической безопасности и, в конечном итоге, повышению благосостояния его граждан.</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Поскольку Узбекистан вступает на этот путь преобразований, крайне важно развивать сотрудничество между правительством, частным сектором и местными сообществами. Работая вместе, заинтересованные стороны могут стимулировать разработку проектов возобновляемой энергии, создавать рабочие места и давать возможность сообществам взять на себя ответственность за свое энергетическое будущее. Путь к энергетической независимости не лишен трудностей, но совместными </w:t>
      </w:r>
      <w:r w:rsidRPr="006F5789">
        <w:rPr>
          <w:rFonts w:ascii="Times New Roman" w:eastAsia="Microsoft YaHei" w:hAnsi="Times New Roman" w:cs="Times New Roman"/>
          <w:noProof/>
          <w:sz w:val="28"/>
          <w:szCs w:val="28"/>
        </w:rPr>
        <w:lastRenderedPageBreak/>
        <w:t>усилиями и инновационными решениями Узбекистан может достичь устойчивого и гибкого энергетического ландшафта, который принесет пользу всем.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Подводя итог, можно сказать, что повышение энергетической независимости посредством решений в области зеленой энергетики имеет важное значение для устойчивого развития Узбекистана. Страна находится на перепутье, и решения, принятые сегодня, сформируют ее энергетическое будущее для будущих поколений. Инвестируя в возобновляемую энергию и местное производство, Узбекистан может использовать свои огромные ресурсы, улучшить свое экономическое положение и обеспечить более светлое, более зеленое будущее для своих граждан.</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Перспективы и недостатки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Перспективы технологического прогресса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последние годы в сфере транспорта произошли значительные инновации, особенно в сфере решений в области зеленой энергетики. Новые технологии лидируют в направлении более устойчивой транспортной системы, а передовые аккумуляторные системы и автономные транспортные средства находятся на переднем крае этой трансформации. Эти технологические достижения имеют решающее значение для сокращения выбросов парниковых газов, повышения энергоэффективности и стимулирования экономического роста.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Одним из важнейших компонентов зеленой энергетической транспортировки является разработка передовых аккумуляторных систем. Традиционные аккумуляторы, такие как свинцово-кислотные, имеют ограничения по плотности энергии, сроку службы и воздействию на окружающую среду. Однако новые технологии, такие как литий-ионные, твердотельные и проточные аккумуляторы, прокладывают путь к более эффективным решениям по хранению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Литий-ионные аккумуляторы стали стандартом в электромобилях (ЭМ) благодаря своей высокой плотности энергии и относительно небольшому весу. Согласно отчету BloombergNEF, стоимость литий-ионных аккумуляторов снизилась примерно на 89% с 2010 года, что сделало электромобили более доступными и доступными для масс. Эти достижения не только повышают производительность электромобилей, но и увеличивают их запас хода, делая их более практичными для повседневного использования.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Твердотельные батареи представляют собой значительный шаг вперед в технологии батарей. В отличие от традиционных литий-ионных батарей, использующих жидкие электролиты, твердотельные батареи используют твердые электролиты, которые могут обеспечить более высокую плотность энергии, повышенную безопасность и более длительный жизненный цикл. Исследования показывают, что твердотельные батареи потенциально могут удвоить запас хода электромобилей, тем самым решая одну из главных проблем потребителей в отношении принятия электромобилей — беспокойство о запасе хода.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 другой стороны, проточные батареи представляют уникальные преимущества для крупномасштабных приложений хранения энергии. Они работают, сохраняя </w:t>
      </w:r>
      <w:r w:rsidRPr="006F5789">
        <w:rPr>
          <w:rFonts w:ascii="Times New Roman" w:eastAsia="Microsoft YaHei" w:hAnsi="Times New Roman" w:cs="Times New Roman"/>
          <w:noProof/>
          <w:sz w:val="28"/>
          <w:szCs w:val="28"/>
        </w:rPr>
        <w:lastRenderedPageBreak/>
        <w:t>энергию в жидких электролитных растворах, которые можно легко масштабировать для использования в энергоемких приложениях. Эта технология особенно актуальна для интеграции возобновляемых источников энергии, таких как солнечная и ветровая, в транспортную сеть, что позволяет обеспечить более стабильное и надежное энергоснабжение.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принятие этих передовых аккумуляторных систем может иметь глубокие последствия. Страна имеет богатые возобновляемые источники энергии, особенно солнечные и ветровые. Инвестируя в передовые аккумуляторные технологии, Узбекистан может создать более устойчивую энергетическую инфраструктуру, которая поддерживает расширение электромобилей и снижает зависимость от ископаемого топлива.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Рост числа автономных транспортных средств (AV) является еще одним многообещающим достижением в сфере экологически чистого транспорта. Эти транспортные средства, которые используют комбинацию датчиков, камер и искусственного интеллекта для навигации без вмешательства человека, имеют потенциал для революционного изменения способа перевозки людей и товаров.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AV могут привести к значительному сокращению пробок на дорогах и потребления энергии. Согласно исследованию Института инженеров транспорта, полностью автономные транспортные средства могут сократить задержки на дорогах до 40% и одновременно снизить расход топлива на 20%. Это особенно важно для таких стран, как Узбекистан, где городские районы сталкиваются с растущими проблемами дорожного движения.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автономные транспортные средства часто проектируются как электрические, что еще больше способствует сокращению выбросов парниковых газов. Интеграция технологии AV с электромобилями может усилить экологические преимущества, делая транспорт более эффективным и устойчивым. Например, беспилотные электрические шаттлы могут быть развернуты в городских районах, предоставляя общественный транспорт, который не только экологически чист, но и снижает потребность в личном владении транспортным средством.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 Узбекистане разработка и внедрение технологии автономного транспорта может повысить эффективность перевозок, одновременно предоставляя значительные экономические возможности. Инвестируя в исследования и разработки, а также сотрудничая с международными автомобильными компаниями, Узбекистан может позиционировать себя как лидера в области внедрения технологии AV в регионе.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Узбекистан находится на решающем этапе, когда он может извлечь выгоду из достижений в области технологий транспортировки зеленой энергии. Стратегическое расположение страны в сочетании с ее огромными ресурсами возобновляемой энергии предоставляет уникальную возможность стать лидером в области устойчивых транспортных решений.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Узбекистан имеет богатую историю использования своих природных ресурсов для производства энергии. Страна наделена богатым потенциалом солнечной и ветровой </w:t>
      </w:r>
      <w:r w:rsidRPr="006F5789">
        <w:rPr>
          <w:rFonts w:ascii="Times New Roman" w:eastAsia="Microsoft YaHei" w:hAnsi="Times New Roman" w:cs="Times New Roman"/>
          <w:noProof/>
          <w:sz w:val="28"/>
          <w:szCs w:val="28"/>
        </w:rPr>
        <w:lastRenderedPageBreak/>
        <w:t>энергии, который может быть использован для питания электромобилей и зарядной инфраструктуры. Используя эти ресурсы, Узбекистан может создать самодостаточную энергетическую экосистему, которая поддерживает внедрение передовых аккумуляторных систем и электромобилей.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Правительство Узбекистана уже признало важность возобновляемой энергии в своей национальной стратегии. Благодаря инициативам, направленным на увеличение доли возобновляемой энергии в национальном энергобалансе, существует прочная основа для интеграции передовых технологий. Например, внедрение солнечных зарядных станций для электромобилей может обеспечить устойчивое энергоснабжение, одновременно сокращая общий углеродный след транспортного сектора.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технологиям транспортировки зеленой энергии представляет значительные экономические возможности для Узбекистана. Развивая отечественную промышленность, ориентированную на производство современных аккумуляторов и электромобилей, страна может создавать рабочие места и стимулировать экономический рост. Отчеты Международного агентства по возобновляемым источникам энергии (IRENA) указывают на то, что сектор возобновляемой энергии имеет потенциал для создания миллионов рабочих мест во всем мире, с аналогичными перспективами для Узбекистана.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Инвестиции в программы обучения и образования для рабочей силы будут иметь важное значение в подготовке к переходу на зеленую энергию. Развивая квалифицированную рабочую силу, которая может работать, обслуживать и внедрять инновации в секторе зеленого транспорта, Узбекистан может гарантировать, что его экономика будет готова к процветанию в новом энергетическом ландшафте.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Приверженность Узбекистана продвижению технологий транспортировки зеленой энергии также может привлечь иностранные инвестиции. Многие мировые компании ищут возможности для инвестирования в устойчивые проекты, а усилия Узбекистана по модернизации своей инфраструктуры и продвижению возобновляемой энергии могут позиционировать страну как привлекательное место для инвестиций.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Партнерства с международными организациями и игроками частного сектора могут способствовать передаче технологий, обмену знаниями и доступу к капиталу. Например, сотрудничество с известными производителями аккумуляторов или электромобилей может ускорить развитие местных возможностей и способствовать инновациям.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Чтобы в полной мере использовать потенциал новых технологий в области зеленой транспортировки энергии, Узбекистан должен активно искать сотрудничество с международными организациями и исследовательскими институтами. Эти партнерства могут предоставить ценный опыт, ресурсы и финансирование, необходимые для разработки и внедрения передовых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Совместные инициативы в области исследований и разработок могут проложить путь для инновационных решений, адаптированных к конкретным потребностям Узбекистана. Благодаря партнерству с университетами и исследовательскими </w:t>
      </w:r>
      <w:r w:rsidRPr="006F5789">
        <w:rPr>
          <w:rFonts w:ascii="Times New Roman" w:eastAsia="Microsoft YaHei" w:hAnsi="Times New Roman" w:cs="Times New Roman"/>
          <w:noProof/>
          <w:sz w:val="28"/>
          <w:szCs w:val="28"/>
        </w:rPr>
        <w:lastRenderedPageBreak/>
        <w:t>институтами по всему миру, Узбекистан может использовать передовые исследования в области технологий аккумуляторов, автономных транспортных средств и интеграции возобновляемых источников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совместные исследовательские проекты могли бы быть сосредоточены на разработке экономически эффективных решений для инфраструктуры зарядки электромобилей на солнечных батареях, адаптированной к местному климату и географическим условиям. Это не только способствовало бы внедрению электромобилей, но и способствовало бы общей энергетической устойчивости транспортного сектора.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Международное сотрудничество также может способствовать наращиванию потенциала и обмену знаниями. Взаимодействуя с зарубежными экспертами и организациями, Узбекистан может получить представление о передовой практике, нормативно-правовой базе и технологических достижениях в области транспортировки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Можно организовать семинары, мастер-классы и обучающие программы, чтобы вооружить местных специалистов необходимыми навыками для работы и инноваций в секторе зеленого транспорта. Этот тип передачи знаний жизненно важен для создания надежной экосистемы, которая поддерживает внедрение передовых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Международные организации часто предоставляют финансирование и инвестиционные возможности для проектов, ориентированных на устойчивое развитие и зеленую энергетику. Узбекистан может использовать эти ресурсы для финансирования разработки передовых аккумуляторных систем, производства электромобилей и инфраструктуры зарядки.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Например, партнерство с Азиатским банком развития (АБР) или Всемирным банком может облегчить доступ к финансовой поддержке для крупномасштабных проектов в области зеленого транспорта. Эти организации заинтересованы в содействии устойчивому развитию и могут предоставить как финансирование, так и техническую экспертизу для обеспечения успеха проекта.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Перспективы технологических достижений в области зеленой энергетики в транспорте многообещающие, особенно для Узбекистана. Принимая новые технологии, такие как передовые аккумуляторные системы и автономные транспортные средства, страна может значительно повысить устойчивость своего транспортного сектора, одновременно стимулируя экономический рост и создание рабочих мест.</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Огромные возобновляемые энергетические ресурсы Узбекистана предоставляют уникальную возможность создать самодостаточную энергетическую экосистему, которая поддерживает электромобили и зарядную инфраструктуру. Благодаря стратегическому партнерству с международными организациями и научно-исследовательскими институтами Узбекистан может использовать глобальный опыт и ресурсы для ускорения внедрения технологий транспортировки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По мере того, как мир движется к более устойчивому будущему, Узбекистан имеет потенциал стать лидером в области экологически чистых энергетических транспортных </w:t>
      </w:r>
      <w:r w:rsidRPr="006F5789">
        <w:rPr>
          <w:rFonts w:ascii="Times New Roman" w:eastAsia="Microsoft YaHei" w:hAnsi="Times New Roman" w:cs="Times New Roman"/>
          <w:noProof/>
          <w:sz w:val="28"/>
          <w:szCs w:val="28"/>
        </w:rPr>
        <w:lastRenderedPageBreak/>
        <w:t>решений, прокладывая путь к более чистому, эффективному и экономически динамичному транспортному ландшафту. Время действовать уже настало, и при правильных стратегиях и сотрудничестве Узбекистан может использовать весь потенциал технологических достижений в области экологически чистой энергетической транспортировки.</w:t>
      </w:r>
    </w:p>
    <w:p w:rsidR="00FF5C24" w:rsidRPr="006F5789" w:rsidRDefault="006F5789" w:rsidP="006F5789">
      <w:pPr>
        <w:pStyle w:val="3"/>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Проблемы и стратегии смягчения последствий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Переход к экологически чистым решениям в области транспорта энергии в Узбекистане имеет решающее значение для устойчивого развития страны, но не лишен проблем. Поскольку страна стремится сократить свой углеродный след и повысить свою энергетическую независимость, необходимо преодолеть различные препятствия. Цель этого раздела — выявить ключевые проблемы при внедрении этих решений, предложить стратегии для их решения и обсудить важность адаптивности и инноваций в преодолении этих препятствий.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Проблемы с финансированием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Одной из самых существенных проблем при внедрении экологически чистых энергетических транспортных решений является отсутствие адекватного финансирования. Переход на возобновляемые источники энергии требует существенных первоначальных инвестиций в инфраструктуру, технологии и человеческий капитал. В Узбекистане, где экономика все еще развивается, получение необходимых средств может быть особенно сложным. Например, установка солнечных панелей, ветряных турбин и зарядных станций для электромобилей требует значительных капиталовложений, которые могут быть нелегко получить от государственного или частного секторов.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инвесторы часто воспринимают проекты в области зеленой энергетики как высокорисковые предприятия из-за их новой природы и длительных сроков окупаемости, связанных с ними. Такое восприятие может сдерживать частные инвестиции и затруднять выделение бюджетных ресурсов для государственных структур на эти инициативы. Согласно отчету Международного агентства по возобновляемым источникам энергии (IRENA), финансирование проектов в области возобновляемой энергетики в развивающихся странах часто составляет около 60% от общей стоимости проекта, что еще больше подчеркивает необходимость инновационных решений в области финансирования.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Развитие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Существующая транспортная инфраструктура в Узбекистане в значительной степени зависит от ископаемого топлива, и для поддержки решений в области зеленой энергетики требуется существенная перестройка. Это включает в себя не только развитие зарядных станций, но и интеграцию возобновляемых источников энергии в энергосистему, которая поддерживает электромобили. Текущая инфраструктура может оказаться недостаточной для перехода; поэтому инвестиции в новые технологии и системы имеют решающее значение.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lastRenderedPageBreak/>
        <w:t>Кроме того, вызывает беспокойство географическое распределение зарядных станций. Городские районы могут иметь лучший доступ к ресурсам и финансированию, но сельские общины часто не имеют инфраструктуры, необходимой для поддержки электромобилей. Неравномерное распределение инфраструктуры может привести к неравенству в доступе к экологически чистым транспортным возможностям, оставляя сельское население в невыгодном положении и ограничивая общую эффективность инициатив в области зеленой энергетики.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Общественная осведомленность и принятие</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Еще одна значительная проблема заключается в общественной осведомленности и принятии экологически чистых транспортных решений. Многие граждане могут не до конца понимать преимущества перехода на электромобили или использования общественного транспорта, работающего на возобновляемых источниках энергии. Дезинформация может способствовать скептицизму относительно надежности и эффективности этих технологий.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культурные установки по отношению к транспорту могут повлиять на принятие решений в области зеленой энергии. В Узбекистане, где традиционные транспортные средства часто считаются более надежными, может возникнуть сопротивление внедрению новых технологий. Это сопротивление может помешать прогрессу инициатив, направленных на продвижение электромобилей и других вариантов транспорта на основе возобновляемой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Нормативная и политическая база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Нормативно-правовая среда в Узбекистане также создает проблемы для внедрения решений по транспортировке зеленой энергии. Существующие политики могут не способствовать продвижению возобновляемой энергии, и может отсутствовать стимулы для потребителей и предприятий инвестировать в зеленые технологии. Без поддерживающей политической базы становится сложно создать рынок для электромобилей и инфраструктуры возобновляемой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бюрократические процессы, связанные с получением разрешений на новые проекты, могут замедлить прогресс. Если правительство не оптимизирует эти процессы и не создаст более благоприятную нормативную среду, это может помешать переходу к экологически чистому энерготранспорту.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Технологические ограничения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Хотя технологии для возобновляемой энергии в транспорте развиваются, все еще существуют ограничения, которые необходимо устранить. Например, современные технологии аккумуляторов для электромобилей могут не обеспечивать достаточного диапазона или быстрой зарядки для удовлетворения потребностей потребителей. Кроме того, эффективность солнечных панелей и ветряных турбин может варьироваться в зависимости от географических условий, что означает, что не все регионы будут иметь одинаковый потенциал для генерации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Эти технологические ограничения могут создавать препятствия для широкого внедрения решений в области зеленой энергетики, поскольку потребители могут не </w:t>
      </w:r>
      <w:r w:rsidRPr="006F5789">
        <w:rPr>
          <w:rFonts w:ascii="Times New Roman" w:eastAsia="Microsoft YaHei" w:hAnsi="Times New Roman" w:cs="Times New Roman"/>
          <w:noProof/>
          <w:sz w:val="28"/>
          <w:szCs w:val="28"/>
        </w:rPr>
        <w:lastRenderedPageBreak/>
        <w:t>желать инвестировать в технологии, которые не отвечают их потребностям или ожиданиям.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Инновационные финансовые решения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решения проблем с финансированием необходимо разрабатывать инновационные механизмы финансирования, которые могут привлекать инвестиции в проекты зеленой энергетики. Это может включать государственно-частное партнерство (ГЧП), где правительство сотрудничает с частными компаниями для разделения затрат и рисков, связанных с развитием инфраструктуры. Объединяя ресурсы, оба сектора могут создать более устойчивую модель финансирования.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создание финансовых стимулов, таких как налоговые льготы, гранты или кредиты с низкими процентными ставками для потребителей и предприятий, которые инвестируют в электромобили и технологии возобновляемой энергии, может стимулировать рост в секторе. Программы, поощряющие инвестиции сообщества в проекты возобновляемой энергии, также могут быть эффективными, поскольку они способствуют развитию местной собственности и увеличивают общественную поддержку.</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Инициативы по развитию инфраструктуры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Для преодоления инфраструктурных проблем Узбекистан должен отдать приоритет развитию надежной сети зарядных станций для электромобилей. Эта сеть должна быть стратегически размещена в городских и сельских районах, чтобы обеспечить равный доступ для всех граждан. Правительство могло бы работать с местными предприятиями для создания зарядных станций в популярных местах, таких как торговые центры, парки и транспортные узлы.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Кроме того, интеграция возобновляемых источников энергии в существующую электросеть имеет важное значение для питания зарядных станций. Внедрение технологий интеллектуальных сетей может повысить эффективность распределения и управления энергией, что позволит улучшить интеграцию возобновляемых источников.</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Кампании по повышению осведомленности общественности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Повышение осведомленности общественности о преимуществах экологически чистых транспортных решений имеет решающее значение для содействия принятию. Комплексные образовательные кампании могут помочь информировать граждан о преимуществах электромобилей, таких как более низкие эксплуатационные расходы, сокращение выбросов и долгосрочные выгоды перехода на возобновляемые источники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Взаимодействие с сообществами посредством семинаров, информационных сессий и кампаний в социальных сетях может помочь развеять мифы и укрепить доверие к новым технологиям. Сотрудничество с местными влиятельными лицами и лидерами сообществ также может повысить охват и эффективность этих кампаний.</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Укрепление политики и нормативно-правовой базы</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Для создания более благоприятной среды для зеленой энергетики Узбекистан должен усилить свою политику и нормативно-правовую базу. Это включает разработку </w:t>
      </w:r>
      <w:r w:rsidRPr="006F5789">
        <w:rPr>
          <w:rFonts w:ascii="Times New Roman" w:eastAsia="Microsoft YaHei" w:hAnsi="Times New Roman" w:cs="Times New Roman"/>
          <w:noProof/>
          <w:sz w:val="28"/>
          <w:szCs w:val="28"/>
        </w:rPr>
        <w:lastRenderedPageBreak/>
        <w:t>четкой, поддерживающей политики, которая поощряет использование возобновляемой энергии и предоставляет стимулы для потребителей и предприятий инвестировать в электромобили.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Оптимизация процесса выдачи разрешений на проекты возобновляемой энергии также может способствовать росту в секторе. Сокращая бюрократические препоны, правительство может ускорить развитие инфраструктуры зеленой энергетики и поощрять инновации.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b/>
          <w:noProof/>
          <w:sz w:val="28"/>
          <w:szCs w:val="28"/>
        </w:rPr>
        <w:t>Содействие исследованиям и разработкам</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Инвестиции в исследования и разработки (НИОКР) имеют важное значение для преодоления технологических ограничений. Поощряя инновации в области аккумуляторных технологий, энергоэффективности и возобновляемой энергетики, Узбекистан может повысить жизнеспособность решений по транспортировке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Сотрудничество с университетами и научно-исследовательскими институтами может способствовать обмену знаниями и способствовать развитию технологий. Кроме того, установление партнерских отношений с международными организациями может обеспечить доступ к экспертным знаниям и финансированию для инициатив в области НИОКР.</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Перед лицом этих проблем адаптивность и инновации имеют первостепенное значение для пути Узбекистана к решениям по транспортировке зеленой энергии. Ландшафт возобновляемой энергии постоянно развивается, регулярно появляются новые технологии и методы. Гибкость в разработке политики и реализации проектов позволит Узбекистану реагировать на меняющиеся обстоятельства и использовать новые возможности по мере их возникновения.</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развитие культуры инноваций в транспортном секторе может стимулировать разработку креативных решений существующих проблем. Это включает в себя изучение нетрадиционных подходов к финансированию, развитию инфраструктуры и вовлечению общественности. Оставаясь открытым для новых идей и адаптируясь к динамичной природе сектора зеленой энергетики, Узбекистан может позиционировать себя как лидера в области устойчивого транспорта.</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Более того, сотрудничество между заинтересованными сторонами — правительством, частным сектором, гражданским обществом и академическими кругами — может повысить эффективность инициатив в области зеленой энергетики. Объединяя различные точки зрения и экспертные знания, Узбекистан может разработать комплексные стратегии, которые решат многогранные проблемы внедрения решений в области транспорта зеленой энергии.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В заключение, хотя переход к экологически чистым решениям в области транспорта в Узбекистане представляет собой ряд проблем, существуют действенные стратегии, которые можно реализовать для устранения этих препятствий. Сосредоточившись на инновационном финансировании, развитии инфраструктуры, информировании общественности, поддерживающих политических рамках и </w:t>
      </w:r>
      <w:r w:rsidRPr="006F5789">
        <w:rPr>
          <w:rFonts w:ascii="Times New Roman" w:eastAsia="Microsoft YaHei" w:hAnsi="Times New Roman" w:cs="Times New Roman"/>
          <w:noProof/>
          <w:sz w:val="28"/>
          <w:szCs w:val="28"/>
        </w:rPr>
        <w:lastRenderedPageBreak/>
        <w:t>содействии исследованиям и разработкам, Узбекистан может проложить путь к устойчивой и эффективной транспортной сети.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По мере продвижения страны вперед, адаптивность и инновации будут играть решающую роль в преодолении трудностей и обеспечении успешной реализации решений в области зеленой энергетики. Приняв эти принципы, Узбекистан может не только улучшить свои транспортные системы, но и внести вклад в более широкие цели устойчивого развития и охраны окружающей среды.</w:t>
      </w:r>
    </w:p>
    <w:p w:rsidR="00FF5C24" w:rsidRPr="006F5789" w:rsidRDefault="006F5789" w:rsidP="006F5789">
      <w:pPr>
        <w:pStyle w:val="2"/>
        <w:spacing w:before="0" w:after="0" w:line="288" w:lineRule="auto"/>
        <w:jc w:val="left"/>
        <w:rPr>
          <w:rFonts w:ascii="Times New Roman" w:hAnsi="Times New Roman" w:cs="Times New Roman"/>
          <w:sz w:val="28"/>
          <w:szCs w:val="28"/>
        </w:rPr>
      </w:pPr>
      <w:r w:rsidRPr="006F5789">
        <w:rPr>
          <w:rFonts w:ascii="Times New Roman" w:eastAsia="Microsoft YaHei" w:hAnsi="Times New Roman" w:cs="Times New Roman"/>
          <w:noProof/>
          <w:sz w:val="28"/>
          <w:szCs w:val="28"/>
        </w:rPr>
        <w:t>Ссылки</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Адхамова, Д. (2024). </w:t>
      </w:r>
      <w:r w:rsidRPr="006F5789">
        <w:rPr>
          <w:rFonts w:ascii="Times New Roman" w:eastAsia="Microsoft YaHei" w:hAnsi="Times New Roman" w:cs="Times New Roman"/>
          <w:i/>
          <w:noProof/>
          <w:sz w:val="28"/>
          <w:szCs w:val="28"/>
        </w:rPr>
        <w:t xml:space="preserve">Оценка прогресса Узбекистана на пути к зеленой экономике </w:t>
      </w:r>
      <w:r w:rsidRPr="006F5789">
        <w:rPr>
          <w:rFonts w:ascii="Times New Roman" w:eastAsia="Microsoft YaHei" w:hAnsi="Times New Roman" w:cs="Times New Roman"/>
          <w:noProof/>
          <w:sz w:val="28"/>
          <w:szCs w:val="28"/>
        </w:rPr>
        <w:t>.</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Бутабоев, М. и Ахунова, С. (2023). Стратегия перехода Узбекистана к «зеленой» экономике и ее значение. </w:t>
      </w:r>
      <w:r w:rsidRPr="006F5789">
        <w:rPr>
          <w:rFonts w:ascii="Times New Roman" w:eastAsia="Microsoft YaHei" w:hAnsi="Times New Roman" w:cs="Times New Roman"/>
          <w:i/>
          <w:noProof/>
          <w:sz w:val="28"/>
          <w:szCs w:val="28"/>
        </w:rPr>
        <w:t xml:space="preserve">Res Militaris, 13 </w:t>
      </w:r>
      <w:r w:rsidRPr="006F5789">
        <w:rPr>
          <w:rFonts w:ascii="Times New Roman" w:eastAsia="Microsoft YaHei" w:hAnsi="Times New Roman" w:cs="Times New Roman"/>
          <w:noProof/>
          <w:sz w:val="28"/>
          <w:szCs w:val="28"/>
        </w:rPr>
        <w:t>(1), 1840-1851.</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Джалилова, Н. (2021). Устойчивая энергетика в Центральной Азии: переход к возобновляемым источникам энергии в Узбекистане. </w:t>
      </w:r>
      <w:r w:rsidRPr="006F5789">
        <w:rPr>
          <w:rFonts w:ascii="Times New Roman" w:eastAsia="Microsoft YaHei" w:hAnsi="Times New Roman" w:cs="Times New Roman"/>
          <w:i/>
          <w:noProof/>
          <w:sz w:val="28"/>
          <w:szCs w:val="28"/>
        </w:rPr>
        <w:t xml:space="preserve">Routledge </w:t>
      </w:r>
      <w:r w:rsidRPr="006F5789">
        <w:rPr>
          <w:rFonts w:ascii="Times New Roman" w:eastAsia="Microsoft YaHei" w:hAnsi="Times New Roman" w:cs="Times New Roman"/>
          <w:noProof/>
          <w:sz w:val="28"/>
          <w:szCs w:val="28"/>
        </w:rPr>
        <w:t>.</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Филипович, С., Орлов, А. и Панич, А.А. (2024). Основные прогнозы и перспективы зеленого перехода в регионе Центральной Азии после 2022 года. </w:t>
      </w:r>
      <w:r w:rsidRPr="006F5789">
        <w:rPr>
          <w:rFonts w:ascii="Times New Roman" w:eastAsia="Microsoft YaHei" w:hAnsi="Times New Roman" w:cs="Times New Roman"/>
          <w:i/>
          <w:noProof/>
          <w:sz w:val="28"/>
          <w:szCs w:val="28"/>
        </w:rPr>
        <w:t xml:space="preserve">Энергия, устойчивость и общество, 14 </w:t>
      </w:r>
      <w:r w:rsidRPr="006F5789">
        <w:rPr>
          <w:rFonts w:ascii="Times New Roman" w:eastAsia="Microsoft YaHei" w:hAnsi="Times New Roman" w:cs="Times New Roman"/>
          <w:noProof/>
          <w:sz w:val="28"/>
          <w:szCs w:val="28"/>
        </w:rPr>
        <w:t>(1), 25.</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Озодбек, Т. и Зумира, Н. (2023). Узбекистан: выбор зеленого будущего. </w:t>
      </w:r>
      <w:r w:rsidRPr="006F5789">
        <w:rPr>
          <w:rFonts w:ascii="Times New Roman" w:eastAsia="Microsoft YaHei" w:hAnsi="Times New Roman" w:cs="Times New Roman"/>
          <w:i/>
          <w:noProof/>
          <w:sz w:val="28"/>
          <w:szCs w:val="28"/>
        </w:rPr>
        <w:t xml:space="preserve">Журнал экономики </w:t>
      </w:r>
      <w:r w:rsidRPr="006F5789">
        <w:rPr>
          <w:rFonts w:ascii="Times New Roman" w:eastAsia="Microsoft YaHei" w:hAnsi="Times New Roman" w:cs="Times New Roman"/>
          <w:noProof/>
          <w:sz w:val="28"/>
          <w:szCs w:val="28"/>
        </w:rPr>
        <w:t>, финансов и инноваций, 232-239.</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Караджанова, Г.Т. и Саидова, Р. Развитие инфраструктуры Узбекистана: инвестиции в транспортные сети, энергетику и коммуникации. </w:t>
      </w:r>
      <w:r w:rsidRPr="006F5789">
        <w:rPr>
          <w:rFonts w:ascii="Times New Roman" w:eastAsia="Microsoft YaHei" w:hAnsi="Times New Roman" w:cs="Times New Roman"/>
          <w:i/>
          <w:noProof/>
          <w:sz w:val="28"/>
          <w:szCs w:val="28"/>
        </w:rPr>
        <w:t xml:space="preserve">Академический журнал цифровой экономики и стабильности, 35 </w:t>
      </w:r>
      <w:r w:rsidRPr="006F5789">
        <w:rPr>
          <w:rFonts w:ascii="Times New Roman" w:eastAsia="Microsoft YaHei" w:hAnsi="Times New Roman" w:cs="Times New Roman"/>
          <w:noProof/>
          <w:sz w:val="28"/>
          <w:szCs w:val="28"/>
        </w:rPr>
        <w:t>(11), 88-101.</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Шакирова, Ю. и Авулчаева, Ф. (2024). УСТОЙЧИВЫЕ РЕШЕНИЯ: УПРАВЛЕНИЕ ЗЕЛЕНОЙ ЭНЕРГЕТИКОЙ КАК КАТАЛИЗАТОР ЭКОНОМИЧЕСКОГО РАЗВИТИЯ В УЗБЕКИСТАНЕ. </w:t>
      </w:r>
      <w:r w:rsidRPr="006F5789">
        <w:rPr>
          <w:rFonts w:ascii="Times New Roman" w:eastAsia="Microsoft YaHei" w:hAnsi="Times New Roman" w:cs="Times New Roman"/>
          <w:i/>
          <w:noProof/>
          <w:sz w:val="28"/>
          <w:szCs w:val="28"/>
        </w:rPr>
        <w:t xml:space="preserve">Международный журнал по менеджменту и экономике, фундаментальный, 4 </w:t>
      </w:r>
      <w:r w:rsidRPr="006F5789">
        <w:rPr>
          <w:rFonts w:ascii="Times New Roman" w:eastAsia="Microsoft YaHei" w:hAnsi="Times New Roman" w:cs="Times New Roman"/>
          <w:noProof/>
          <w:sz w:val="28"/>
          <w:szCs w:val="28"/>
        </w:rPr>
        <w:t>(03), 33-40.</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Танака, М. (2022, июнь). Озеленение инициативы «Один пояс, один путь» в Центральной Азии: случай сектора возобновляемой энергетики Узбекистана. В Двенадцатом международном съезде ученых Азии (ICAS 12) (т. 1, стр. 691-700). </w:t>
      </w:r>
      <w:r w:rsidRPr="006F5789">
        <w:rPr>
          <w:rFonts w:ascii="Times New Roman" w:eastAsia="Microsoft YaHei" w:hAnsi="Times New Roman" w:cs="Times New Roman"/>
          <w:i/>
          <w:noProof/>
          <w:sz w:val="28"/>
          <w:szCs w:val="28"/>
        </w:rPr>
        <w:t xml:space="preserve">Издательство Амстердамского университета </w:t>
      </w:r>
      <w:r w:rsidRPr="006F5789">
        <w:rPr>
          <w:rFonts w:ascii="Times New Roman" w:eastAsia="Microsoft YaHei" w:hAnsi="Times New Roman" w:cs="Times New Roman"/>
          <w:noProof/>
          <w:sz w:val="28"/>
          <w:szCs w:val="28"/>
        </w:rPr>
        <w:t>.</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Яхшиликов, Дж., Кавана, М. и Леоне, П. (2024). Обзор энергетической системы и транспортного сектора в Узбекистане с учетом будущего использования водорода. </w:t>
      </w:r>
      <w:r w:rsidRPr="006F5789">
        <w:rPr>
          <w:rFonts w:ascii="Times New Roman" w:eastAsia="Microsoft YaHei" w:hAnsi="Times New Roman" w:cs="Times New Roman"/>
          <w:i/>
          <w:noProof/>
          <w:sz w:val="28"/>
          <w:szCs w:val="28"/>
        </w:rPr>
        <w:t xml:space="preserve">Энергетика, 17 </w:t>
      </w:r>
      <w:r w:rsidRPr="006F5789">
        <w:rPr>
          <w:rFonts w:ascii="Times New Roman" w:eastAsia="Microsoft YaHei" w:hAnsi="Times New Roman" w:cs="Times New Roman"/>
          <w:noProof/>
          <w:sz w:val="28"/>
          <w:szCs w:val="28"/>
        </w:rPr>
        <w:t>(16), 3987.</w:t>
      </w:r>
    </w:p>
    <w:p w:rsidR="00FF5C24" w:rsidRPr="006F5789" w:rsidRDefault="006F5789" w:rsidP="006F5789">
      <w:pPr>
        <w:spacing w:after="0" w:line="288" w:lineRule="auto"/>
        <w:ind w:firstLineChars="200" w:firstLine="560"/>
        <w:rPr>
          <w:rFonts w:ascii="Times New Roman" w:hAnsi="Times New Roman" w:cs="Times New Roman"/>
          <w:sz w:val="28"/>
          <w:szCs w:val="28"/>
        </w:rPr>
      </w:pPr>
      <w:r w:rsidRPr="006F5789">
        <w:rPr>
          <w:rFonts w:ascii="Times New Roman" w:eastAsia="Microsoft YaHei" w:hAnsi="Times New Roman" w:cs="Times New Roman"/>
          <w:noProof/>
          <w:sz w:val="28"/>
          <w:szCs w:val="28"/>
        </w:rPr>
        <w:t xml:space="preserve">Жамолиддин огли, ТК, София, А., Апанди, НН, и Хасан, У. Перспективы развития альтернативной энергетики в Узбекистане. </w:t>
      </w:r>
      <w:r w:rsidRPr="006F5789">
        <w:rPr>
          <w:rFonts w:ascii="Times New Roman" w:eastAsia="Microsoft YaHei" w:hAnsi="Times New Roman" w:cs="Times New Roman"/>
          <w:i/>
          <w:noProof/>
          <w:sz w:val="28"/>
          <w:szCs w:val="28"/>
        </w:rPr>
        <w:t xml:space="preserve">Международный журнал бизнес-обзора </w:t>
      </w:r>
      <w:r w:rsidRPr="006F5789">
        <w:rPr>
          <w:rFonts w:ascii="Times New Roman" w:eastAsia="Microsoft YaHei" w:hAnsi="Times New Roman" w:cs="Times New Roman"/>
          <w:noProof/>
          <w:sz w:val="28"/>
          <w:szCs w:val="28"/>
        </w:rPr>
        <w:t>(The Jobs Review), 7(2).</w:t>
      </w:r>
    </w:p>
    <w:sectPr w:rsidR="00FF5C24" w:rsidRPr="006F5789" w:rsidSect="006F5789">
      <w:pgSz w:w="11906" w:h="16838"/>
      <w:pgMar w:top="567" w:right="707" w:bottom="426" w:left="567" w:header="851" w:footer="992"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等线">
    <w:altName w:val="MS PMincho"/>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631F"/>
    <w:multiLevelType w:val="hybridMultilevel"/>
    <w:tmpl w:val="C2C0F23C"/>
    <w:lvl w:ilvl="0" w:tplc="71C8778C">
      <w:start w:val="1"/>
      <w:numFmt w:val="decimal"/>
      <w:lvlText w:val="%1."/>
      <w:lvlJc w:val="left"/>
      <w:pPr>
        <w:tabs>
          <w:tab w:val="num" w:pos="440"/>
        </w:tabs>
        <w:ind w:left="440" w:hanging="440"/>
      </w:pPr>
      <w:rPr>
        <w:rFonts w:hint="default"/>
      </w:rPr>
    </w:lvl>
    <w:lvl w:ilvl="1" w:tplc="B92A0984">
      <w:start w:val="1"/>
      <w:numFmt w:val="lowerLetter"/>
      <w:lvlText w:val="%2."/>
      <w:lvlJc w:val="left"/>
      <w:pPr>
        <w:tabs>
          <w:tab w:val="num" w:pos="880"/>
        </w:tabs>
        <w:ind w:left="880" w:hanging="440"/>
      </w:pPr>
      <w:rPr>
        <w:rFonts w:hint="default"/>
      </w:rPr>
    </w:lvl>
    <w:lvl w:ilvl="2" w:tplc="5C7C6114">
      <w:start w:val="1"/>
      <w:numFmt w:val="lowerRoman"/>
      <w:lvlText w:val="%3."/>
      <w:lvlJc w:val="left"/>
      <w:pPr>
        <w:tabs>
          <w:tab w:val="num" w:pos="1320"/>
        </w:tabs>
        <w:ind w:left="1320" w:hanging="440"/>
      </w:pPr>
      <w:rPr>
        <w:rFonts w:hint="default"/>
      </w:rPr>
    </w:lvl>
    <w:lvl w:ilvl="3" w:tplc="CCE02948">
      <w:start w:val="1"/>
      <w:numFmt w:val="decimal"/>
      <w:lvlText w:val="%4."/>
      <w:lvlJc w:val="left"/>
      <w:pPr>
        <w:tabs>
          <w:tab w:val="num" w:pos="1760"/>
        </w:tabs>
        <w:ind w:left="1760" w:hanging="440"/>
      </w:pPr>
      <w:rPr>
        <w:rFonts w:hint="default"/>
      </w:rPr>
    </w:lvl>
    <w:lvl w:ilvl="4" w:tplc="1FB274CA">
      <w:start w:val="1"/>
      <w:numFmt w:val="lowerLetter"/>
      <w:lvlText w:val="%5."/>
      <w:lvlJc w:val="left"/>
      <w:pPr>
        <w:tabs>
          <w:tab w:val="num" w:pos="2200"/>
        </w:tabs>
        <w:ind w:left="2200" w:hanging="440"/>
      </w:pPr>
      <w:rPr>
        <w:rFonts w:hint="default"/>
      </w:rPr>
    </w:lvl>
    <w:lvl w:ilvl="5" w:tplc="C700F690">
      <w:start w:val="1"/>
      <w:numFmt w:val="lowerRoman"/>
      <w:lvlText w:val="%6."/>
      <w:lvlJc w:val="left"/>
      <w:pPr>
        <w:tabs>
          <w:tab w:val="num" w:pos="2640"/>
        </w:tabs>
        <w:ind w:left="2640" w:hanging="440"/>
      </w:pPr>
      <w:rPr>
        <w:rFonts w:hint="default"/>
      </w:rPr>
    </w:lvl>
    <w:lvl w:ilvl="6" w:tplc="AF84EFB8">
      <w:start w:val="1"/>
      <w:numFmt w:val="decimal"/>
      <w:lvlText w:val="%7."/>
      <w:lvlJc w:val="left"/>
      <w:pPr>
        <w:tabs>
          <w:tab w:val="num" w:pos="3080"/>
        </w:tabs>
        <w:ind w:left="3080" w:hanging="440"/>
      </w:pPr>
      <w:rPr>
        <w:rFonts w:hint="default"/>
      </w:rPr>
    </w:lvl>
    <w:lvl w:ilvl="7" w:tplc="0CDCBEC2">
      <w:start w:val="1"/>
      <w:numFmt w:val="lowerLetter"/>
      <w:lvlText w:val="%8."/>
      <w:lvlJc w:val="left"/>
      <w:pPr>
        <w:tabs>
          <w:tab w:val="num" w:pos="3520"/>
        </w:tabs>
        <w:ind w:left="3520" w:hanging="440"/>
      </w:pPr>
      <w:rPr>
        <w:rFonts w:hint="default"/>
      </w:rPr>
    </w:lvl>
    <w:lvl w:ilvl="8" w:tplc="D4320F9E">
      <w:start w:val="1"/>
      <w:numFmt w:val="lowerRoman"/>
      <w:lvlText w:val="%9."/>
      <w:lvlJc w:val="left"/>
      <w:pPr>
        <w:tabs>
          <w:tab w:val="num" w:pos="3960"/>
        </w:tabs>
        <w:ind w:left="3960" w:hanging="440"/>
      </w:pPr>
      <w:rPr>
        <w:rFonts w:hint="default"/>
      </w:rPr>
    </w:lvl>
  </w:abstractNum>
  <w:abstractNum w:abstractNumId="1">
    <w:nsid w:val="082B106D"/>
    <w:multiLevelType w:val="hybridMultilevel"/>
    <w:tmpl w:val="D02E28BE"/>
    <w:lvl w:ilvl="0" w:tplc="862843CA">
      <w:start w:val="1"/>
      <w:numFmt w:val="decimal"/>
      <w:lvlText w:val="%1."/>
      <w:lvlJc w:val="left"/>
      <w:pPr>
        <w:tabs>
          <w:tab w:val="num" w:pos="440"/>
        </w:tabs>
        <w:ind w:left="440" w:hanging="440"/>
      </w:pPr>
      <w:rPr>
        <w:rFonts w:hint="default"/>
      </w:rPr>
    </w:lvl>
    <w:lvl w:ilvl="1" w:tplc="03180F5E">
      <w:start w:val="1"/>
      <w:numFmt w:val="lowerLetter"/>
      <w:lvlText w:val="%2."/>
      <w:lvlJc w:val="left"/>
      <w:pPr>
        <w:tabs>
          <w:tab w:val="num" w:pos="880"/>
        </w:tabs>
        <w:ind w:left="880" w:hanging="440"/>
      </w:pPr>
      <w:rPr>
        <w:rFonts w:hint="default"/>
      </w:rPr>
    </w:lvl>
    <w:lvl w:ilvl="2" w:tplc="F1E6CAE6">
      <w:start w:val="1"/>
      <w:numFmt w:val="lowerRoman"/>
      <w:lvlText w:val="%3."/>
      <w:lvlJc w:val="left"/>
      <w:pPr>
        <w:tabs>
          <w:tab w:val="num" w:pos="1320"/>
        </w:tabs>
        <w:ind w:left="1320" w:hanging="440"/>
      </w:pPr>
      <w:rPr>
        <w:rFonts w:hint="default"/>
      </w:rPr>
    </w:lvl>
    <w:lvl w:ilvl="3" w:tplc="8F065CB0">
      <w:start w:val="1"/>
      <w:numFmt w:val="decimal"/>
      <w:lvlText w:val="%4."/>
      <w:lvlJc w:val="left"/>
      <w:pPr>
        <w:tabs>
          <w:tab w:val="num" w:pos="1760"/>
        </w:tabs>
        <w:ind w:left="1760" w:hanging="440"/>
      </w:pPr>
      <w:rPr>
        <w:rFonts w:hint="default"/>
      </w:rPr>
    </w:lvl>
    <w:lvl w:ilvl="4" w:tplc="4C720664">
      <w:start w:val="1"/>
      <w:numFmt w:val="lowerLetter"/>
      <w:lvlText w:val="%5."/>
      <w:lvlJc w:val="left"/>
      <w:pPr>
        <w:tabs>
          <w:tab w:val="num" w:pos="2200"/>
        </w:tabs>
        <w:ind w:left="2200" w:hanging="440"/>
      </w:pPr>
      <w:rPr>
        <w:rFonts w:hint="default"/>
      </w:rPr>
    </w:lvl>
    <w:lvl w:ilvl="5" w:tplc="7696F69A">
      <w:start w:val="1"/>
      <w:numFmt w:val="lowerRoman"/>
      <w:lvlText w:val="%6."/>
      <w:lvlJc w:val="left"/>
      <w:pPr>
        <w:tabs>
          <w:tab w:val="num" w:pos="2640"/>
        </w:tabs>
        <w:ind w:left="2640" w:hanging="440"/>
      </w:pPr>
      <w:rPr>
        <w:rFonts w:hint="default"/>
      </w:rPr>
    </w:lvl>
    <w:lvl w:ilvl="6" w:tplc="3600F74A">
      <w:start w:val="1"/>
      <w:numFmt w:val="decimal"/>
      <w:lvlText w:val="%7."/>
      <w:lvlJc w:val="left"/>
      <w:pPr>
        <w:tabs>
          <w:tab w:val="num" w:pos="3080"/>
        </w:tabs>
        <w:ind w:left="3080" w:hanging="440"/>
      </w:pPr>
      <w:rPr>
        <w:rFonts w:hint="default"/>
      </w:rPr>
    </w:lvl>
    <w:lvl w:ilvl="7" w:tplc="706A3288">
      <w:start w:val="1"/>
      <w:numFmt w:val="lowerLetter"/>
      <w:lvlText w:val="%8."/>
      <w:lvlJc w:val="left"/>
      <w:pPr>
        <w:tabs>
          <w:tab w:val="num" w:pos="3520"/>
        </w:tabs>
        <w:ind w:left="3520" w:hanging="440"/>
      </w:pPr>
      <w:rPr>
        <w:rFonts w:hint="default"/>
      </w:rPr>
    </w:lvl>
    <w:lvl w:ilvl="8" w:tplc="E60AA35C">
      <w:start w:val="1"/>
      <w:numFmt w:val="lowerRoman"/>
      <w:lvlText w:val="%9."/>
      <w:lvlJc w:val="left"/>
      <w:pPr>
        <w:tabs>
          <w:tab w:val="num" w:pos="3960"/>
        </w:tabs>
        <w:ind w:left="3960" w:hanging="440"/>
      </w:pPr>
      <w:rPr>
        <w:rFonts w:hint="default"/>
      </w:rPr>
    </w:lvl>
  </w:abstractNum>
  <w:abstractNum w:abstractNumId="2">
    <w:nsid w:val="0AEA703E"/>
    <w:multiLevelType w:val="hybridMultilevel"/>
    <w:tmpl w:val="741AA240"/>
    <w:lvl w:ilvl="0" w:tplc="0166F7F2">
      <w:start w:val="1"/>
      <w:numFmt w:val="decimal"/>
      <w:lvlText w:val="%1."/>
      <w:lvlJc w:val="left"/>
      <w:pPr>
        <w:tabs>
          <w:tab w:val="num" w:pos="440"/>
        </w:tabs>
        <w:ind w:left="440" w:hanging="440"/>
      </w:pPr>
    </w:lvl>
    <w:lvl w:ilvl="1" w:tplc="BE623150">
      <w:start w:val="1"/>
      <w:numFmt w:val="lowerLetter"/>
      <w:lvlText w:val="%2."/>
      <w:lvlJc w:val="left"/>
      <w:pPr>
        <w:tabs>
          <w:tab w:val="num" w:pos="880"/>
        </w:tabs>
        <w:ind w:left="880" w:hanging="440"/>
      </w:pPr>
      <w:rPr>
        <w:rFonts w:hint="default"/>
      </w:rPr>
    </w:lvl>
    <w:lvl w:ilvl="2" w:tplc="168434F4">
      <w:start w:val="1"/>
      <w:numFmt w:val="lowerRoman"/>
      <w:lvlText w:val="%3."/>
      <w:lvlJc w:val="left"/>
      <w:pPr>
        <w:tabs>
          <w:tab w:val="num" w:pos="1320"/>
        </w:tabs>
        <w:ind w:left="1320" w:hanging="440"/>
      </w:pPr>
      <w:rPr>
        <w:rFonts w:hint="default"/>
      </w:rPr>
    </w:lvl>
    <w:lvl w:ilvl="3" w:tplc="01D6B676">
      <w:start w:val="1"/>
      <w:numFmt w:val="decimal"/>
      <w:lvlText w:val="%4."/>
      <w:lvlJc w:val="left"/>
      <w:pPr>
        <w:tabs>
          <w:tab w:val="num" w:pos="1760"/>
        </w:tabs>
        <w:ind w:left="1760" w:hanging="440"/>
      </w:pPr>
      <w:rPr>
        <w:rFonts w:hint="default"/>
      </w:rPr>
    </w:lvl>
    <w:lvl w:ilvl="4" w:tplc="71E00DE6">
      <w:start w:val="1"/>
      <w:numFmt w:val="lowerLetter"/>
      <w:lvlText w:val="%5."/>
      <w:lvlJc w:val="left"/>
      <w:pPr>
        <w:tabs>
          <w:tab w:val="num" w:pos="2200"/>
        </w:tabs>
        <w:ind w:left="2200" w:hanging="440"/>
      </w:pPr>
      <w:rPr>
        <w:rFonts w:hint="default"/>
      </w:rPr>
    </w:lvl>
    <w:lvl w:ilvl="5" w:tplc="8DE29CF8">
      <w:start w:val="1"/>
      <w:numFmt w:val="lowerRoman"/>
      <w:lvlText w:val="%6."/>
      <w:lvlJc w:val="left"/>
      <w:pPr>
        <w:tabs>
          <w:tab w:val="num" w:pos="2640"/>
        </w:tabs>
        <w:ind w:left="2640" w:hanging="440"/>
      </w:pPr>
      <w:rPr>
        <w:rFonts w:hint="default"/>
      </w:rPr>
    </w:lvl>
    <w:lvl w:ilvl="6" w:tplc="6046B4D8">
      <w:start w:val="1"/>
      <w:numFmt w:val="decimal"/>
      <w:lvlText w:val="%7."/>
      <w:lvlJc w:val="left"/>
      <w:pPr>
        <w:tabs>
          <w:tab w:val="num" w:pos="3080"/>
        </w:tabs>
        <w:ind w:left="3080" w:hanging="440"/>
      </w:pPr>
      <w:rPr>
        <w:rFonts w:hint="default"/>
      </w:rPr>
    </w:lvl>
    <w:lvl w:ilvl="7" w:tplc="4196A9BE">
      <w:start w:val="1"/>
      <w:numFmt w:val="lowerLetter"/>
      <w:lvlText w:val="%8."/>
      <w:lvlJc w:val="left"/>
      <w:pPr>
        <w:tabs>
          <w:tab w:val="num" w:pos="3520"/>
        </w:tabs>
        <w:ind w:left="3520" w:hanging="440"/>
      </w:pPr>
      <w:rPr>
        <w:rFonts w:hint="default"/>
      </w:rPr>
    </w:lvl>
    <w:lvl w:ilvl="8" w:tplc="7E9461BE">
      <w:start w:val="1"/>
      <w:numFmt w:val="lowerRoman"/>
      <w:lvlText w:val="%9."/>
      <w:lvlJc w:val="left"/>
      <w:pPr>
        <w:tabs>
          <w:tab w:val="num" w:pos="3960"/>
        </w:tabs>
        <w:ind w:left="3960" w:hanging="440"/>
      </w:pPr>
      <w:rPr>
        <w:rFonts w:hint="default"/>
      </w:rPr>
    </w:lvl>
  </w:abstractNum>
  <w:abstractNum w:abstractNumId="3">
    <w:nsid w:val="10AC43A5"/>
    <w:multiLevelType w:val="hybridMultilevel"/>
    <w:tmpl w:val="96BC0F58"/>
    <w:lvl w:ilvl="0" w:tplc="080C3170">
      <w:start w:val="1"/>
      <w:numFmt w:val="bullet"/>
      <w:lvlText w:val=""/>
      <w:lvlJc w:val="left"/>
      <w:pPr>
        <w:ind w:left="440" w:hanging="440"/>
      </w:pPr>
      <w:rPr>
        <w:rFonts w:ascii="Wingdings" w:hAnsi="Wingdings" w:hint="default"/>
      </w:rPr>
    </w:lvl>
    <w:lvl w:ilvl="1" w:tplc="FA4CE0A2">
      <w:start w:val="1"/>
      <w:numFmt w:val="bullet"/>
      <w:lvlText w:val=""/>
      <w:lvlJc w:val="left"/>
      <w:pPr>
        <w:ind w:left="880" w:hanging="440"/>
      </w:pPr>
      <w:rPr>
        <w:rFonts w:ascii="Wingdings" w:hAnsi="Wingdings" w:hint="default"/>
      </w:rPr>
    </w:lvl>
    <w:lvl w:ilvl="2" w:tplc="20A813EE">
      <w:start w:val="1"/>
      <w:numFmt w:val="bullet"/>
      <w:lvlText w:val=""/>
      <w:lvlJc w:val="left"/>
      <w:pPr>
        <w:ind w:left="1320" w:hanging="440"/>
      </w:pPr>
      <w:rPr>
        <w:rFonts w:ascii="Wingdings" w:hAnsi="Wingdings" w:hint="default"/>
      </w:rPr>
    </w:lvl>
    <w:lvl w:ilvl="3" w:tplc="DB7E08A6">
      <w:start w:val="1"/>
      <w:numFmt w:val="bullet"/>
      <w:lvlText w:val=""/>
      <w:lvlJc w:val="left"/>
      <w:pPr>
        <w:ind w:left="1760" w:hanging="440"/>
      </w:pPr>
      <w:rPr>
        <w:rFonts w:ascii="Wingdings" w:hAnsi="Wingdings" w:hint="default"/>
      </w:rPr>
    </w:lvl>
    <w:lvl w:ilvl="4" w:tplc="4CFCD042">
      <w:start w:val="1"/>
      <w:numFmt w:val="bullet"/>
      <w:lvlText w:val=""/>
      <w:lvlJc w:val="left"/>
      <w:pPr>
        <w:ind w:left="2200" w:hanging="440"/>
      </w:pPr>
      <w:rPr>
        <w:rFonts w:ascii="Wingdings" w:hAnsi="Wingdings" w:hint="default"/>
      </w:rPr>
    </w:lvl>
    <w:lvl w:ilvl="5" w:tplc="1BE20A66">
      <w:start w:val="1"/>
      <w:numFmt w:val="bullet"/>
      <w:lvlText w:val=""/>
      <w:lvlJc w:val="left"/>
      <w:pPr>
        <w:ind w:left="2640" w:hanging="440"/>
      </w:pPr>
      <w:rPr>
        <w:rFonts w:ascii="Wingdings" w:hAnsi="Wingdings" w:hint="default"/>
      </w:rPr>
    </w:lvl>
    <w:lvl w:ilvl="6" w:tplc="2D3A71DE">
      <w:start w:val="1"/>
      <w:numFmt w:val="bullet"/>
      <w:lvlText w:val=""/>
      <w:lvlJc w:val="left"/>
      <w:pPr>
        <w:ind w:left="3080" w:hanging="440"/>
      </w:pPr>
      <w:rPr>
        <w:rFonts w:ascii="Wingdings" w:hAnsi="Wingdings" w:hint="default"/>
      </w:rPr>
    </w:lvl>
    <w:lvl w:ilvl="7" w:tplc="B4687700">
      <w:start w:val="1"/>
      <w:numFmt w:val="bullet"/>
      <w:lvlText w:val=""/>
      <w:lvlJc w:val="left"/>
      <w:pPr>
        <w:ind w:left="3520" w:hanging="440"/>
      </w:pPr>
      <w:rPr>
        <w:rFonts w:ascii="Wingdings" w:hAnsi="Wingdings" w:hint="default"/>
      </w:rPr>
    </w:lvl>
    <w:lvl w:ilvl="8" w:tplc="A8A07206">
      <w:start w:val="1"/>
      <w:numFmt w:val="bullet"/>
      <w:lvlText w:val=""/>
      <w:lvlJc w:val="left"/>
      <w:pPr>
        <w:ind w:left="3960" w:hanging="440"/>
      </w:pPr>
      <w:rPr>
        <w:rFonts w:ascii="Wingdings" w:hAnsi="Wingdings" w:hint="default"/>
      </w:rPr>
    </w:lvl>
  </w:abstractNum>
  <w:abstractNum w:abstractNumId="4">
    <w:nsid w:val="29C1183B"/>
    <w:multiLevelType w:val="hybridMultilevel"/>
    <w:tmpl w:val="91387B8E"/>
    <w:lvl w:ilvl="0" w:tplc="7E5E3980">
      <w:start w:val="1"/>
      <w:numFmt w:val="decimal"/>
      <w:lvlText w:val="%1."/>
      <w:lvlJc w:val="left"/>
      <w:pPr>
        <w:tabs>
          <w:tab w:val="num" w:pos="440"/>
        </w:tabs>
        <w:ind w:left="440" w:hanging="440"/>
      </w:pPr>
      <w:rPr>
        <w:rFonts w:hint="default"/>
      </w:rPr>
    </w:lvl>
    <w:lvl w:ilvl="1" w:tplc="4F364456">
      <w:start w:val="1"/>
      <w:numFmt w:val="lowerLetter"/>
      <w:lvlText w:val="%2."/>
      <w:lvlJc w:val="left"/>
      <w:pPr>
        <w:tabs>
          <w:tab w:val="num" w:pos="880"/>
        </w:tabs>
        <w:ind w:left="880" w:hanging="440"/>
      </w:pPr>
      <w:rPr>
        <w:rFonts w:hint="default"/>
      </w:rPr>
    </w:lvl>
    <w:lvl w:ilvl="2" w:tplc="E544F4A4">
      <w:start w:val="1"/>
      <w:numFmt w:val="lowerRoman"/>
      <w:lvlText w:val="%3."/>
      <w:lvlJc w:val="left"/>
      <w:pPr>
        <w:tabs>
          <w:tab w:val="num" w:pos="1320"/>
        </w:tabs>
        <w:ind w:left="1320" w:hanging="440"/>
      </w:pPr>
      <w:rPr>
        <w:rFonts w:hint="default"/>
      </w:rPr>
    </w:lvl>
    <w:lvl w:ilvl="3" w:tplc="CF9E9F3A">
      <w:start w:val="1"/>
      <w:numFmt w:val="decimal"/>
      <w:lvlText w:val="%4."/>
      <w:lvlJc w:val="left"/>
      <w:pPr>
        <w:tabs>
          <w:tab w:val="num" w:pos="1760"/>
        </w:tabs>
        <w:ind w:left="1760" w:hanging="440"/>
      </w:pPr>
      <w:rPr>
        <w:rFonts w:hint="default"/>
      </w:rPr>
    </w:lvl>
    <w:lvl w:ilvl="4" w:tplc="F3D25A0A">
      <w:start w:val="1"/>
      <w:numFmt w:val="lowerLetter"/>
      <w:lvlText w:val="%5."/>
      <w:lvlJc w:val="left"/>
      <w:pPr>
        <w:tabs>
          <w:tab w:val="num" w:pos="2200"/>
        </w:tabs>
        <w:ind w:left="2200" w:hanging="440"/>
      </w:pPr>
      <w:rPr>
        <w:rFonts w:hint="default"/>
      </w:rPr>
    </w:lvl>
    <w:lvl w:ilvl="5" w:tplc="B5A89FD6">
      <w:start w:val="1"/>
      <w:numFmt w:val="lowerRoman"/>
      <w:lvlText w:val="%6."/>
      <w:lvlJc w:val="left"/>
      <w:pPr>
        <w:tabs>
          <w:tab w:val="num" w:pos="2640"/>
        </w:tabs>
        <w:ind w:left="2640" w:hanging="440"/>
      </w:pPr>
      <w:rPr>
        <w:rFonts w:hint="default"/>
      </w:rPr>
    </w:lvl>
    <w:lvl w:ilvl="6" w:tplc="57C697AE">
      <w:start w:val="1"/>
      <w:numFmt w:val="decimal"/>
      <w:lvlText w:val="%7."/>
      <w:lvlJc w:val="left"/>
      <w:pPr>
        <w:tabs>
          <w:tab w:val="num" w:pos="3080"/>
        </w:tabs>
        <w:ind w:left="3080" w:hanging="440"/>
      </w:pPr>
      <w:rPr>
        <w:rFonts w:hint="default"/>
      </w:rPr>
    </w:lvl>
    <w:lvl w:ilvl="7" w:tplc="7B920B90">
      <w:start w:val="1"/>
      <w:numFmt w:val="lowerLetter"/>
      <w:lvlText w:val="%8."/>
      <w:lvlJc w:val="left"/>
      <w:pPr>
        <w:tabs>
          <w:tab w:val="num" w:pos="3520"/>
        </w:tabs>
        <w:ind w:left="3520" w:hanging="440"/>
      </w:pPr>
      <w:rPr>
        <w:rFonts w:hint="default"/>
      </w:rPr>
    </w:lvl>
    <w:lvl w:ilvl="8" w:tplc="D5A49F28">
      <w:start w:val="1"/>
      <w:numFmt w:val="lowerRoman"/>
      <w:lvlText w:val="%9."/>
      <w:lvlJc w:val="left"/>
      <w:pPr>
        <w:tabs>
          <w:tab w:val="num" w:pos="3960"/>
        </w:tabs>
        <w:ind w:left="3960" w:hanging="440"/>
      </w:pPr>
      <w:rPr>
        <w:rFonts w:hint="default"/>
      </w:rPr>
    </w:lvl>
  </w:abstractNum>
  <w:abstractNum w:abstractNumId="5">
    <w:nsid w:val="2E104E66"/>
    <w:multiLevelType w:val="hybridMultilevel"/>
    <w:tmpl w:val="C6C4E3E0"/>
    <w:lvl w:ilvl="0" w:tplc="B90EE06A">
      <w:start w:val="1"/>
      <w:numFmt w:val="decimal"/>
      <w:lvlText w:val="%1."/>
      <w:lvlJc w:val="left"/>
      <w:pPr>
        <w:tabs>
          <w:tab w:val="num" w:pos="440"/>
        </w:tabs>
        <w:ind w:left="440" w:hanging="440"/>
      </w:pPr>
    </w:lvl>
    <w:lvl w:ilvl="1" w:tplc="D2825898">
      <w:start w:val="1"/>
      <w:numFmt w:val="lowerLetter"/>
      <w:lvlText w:val="%2."/>
      <w:lvlJc w:val="left"/>
      <w:pPr>
        <w:tabs>
          <w:tab w:val="num" w:pos="880"/>
        </w:tabs>
        <w:ind w:left="880" w:hanging="440"/>
      </w:pPr>
      <w:rPr>
        <w:rFonts w:hint="default"/>
      </w:rPr>
    </w:lvl>
    <w:lvl w:ilvl="2" w:tplc="4AA40C72">
      <w:start w:val="1"/>
      <w:numFmt w:val="lowerRoman"/>
      <w:lvlText w:val="%3."/>
      <w:lvlJc w:val="left"/>
      <w:pPr>
        <w:tabs>
          <w:tab w:val="num" w:pos="1320"/>
        </w:tabs>
        <w:ind w:left="1320" w:hanging="440"/>
      </w:pPr>
      <w:rPr>
        <w:rFonts w:hint="default"/>
      </w:rPr>
    </w:lvl>
    <w:lvl w:ilvl="3" w:tplc="F1A25802">
      <w:start w:val="1"/>
      <w:numFmt w:val="decimal"/>
      <w:lvlText w:val="%4."/>
      <w:lvlJc w:val="left"/>
      <w:pPr>
        <w:tabs>
          <w:tab w:val="num" w:pos="1760"/>
        </w:tabs>
        <w:ind w:left="1760" w:hanging="440"/>
      </w:pPr>
      <w:rPr>
        <w:rFonts w:hint="default"/>
      </w:rPr>
    </w:lvl>
    <w:lvl w:ilvl="4" w:tplc="D7FC68E8">
      <w:start w:val="1"/>
      <w:numFmt w:val="lowerLetter"/>
      <w:lvlText w:val="%5."/>
      <w:lvlJc w:val="left"/>
      <w:pPr>
        <w:tabs>
          <w:tab w:val="num" w:pos="2200"/>
        </w:tabs>
        <w:ind w:left="2200" w:hanging="440"/>
      </w:pPr>
      <w:rPr>
        <w:rFonts w:hint="default"/>
      </w:rPr>
    </w:lvl>
    <w:lvl w:ilvl="5" w:tplc="E4D8BD3C">
      <w:start w:val="1"/>
      <w:numFmt w:val="lowerRoman"/>
      <w:lvlText w:val="%6."/>
      <w:lvlJc w:val="left"/>
      <w:pPr>
        <w:tabs>
          <w:tab w:val="num" w:pos="2640"/>
        </w:tabs>
        <w:ind w:left="2640" w:hanging="440"/>
      </w:pPr>
      <w:rPr>
        <w:rFonts w:hint="default"/>
      </w:rPr>
    </w:lvl>
    <w:lvl w:ilvl="6" w:tplc="43EC0296">
      <w:start w:val="1"/>
      <w:numFmt w:val="decimal"/>
      <w:lvlText w:val="%7."/>
      <w:lvlJc w:val="left"/>
      <w:pPr>
        <w:tabs>
          <w:tab w:val="num" w:pos="3080"/>
        </w:tabs>
        <w:ind w:left="3080" w:hanging="440"/>
      </w:pPr>
      <w:rPr>
        <w:rFonts w:hint="default"/>
      </w:rPr>
    </w:lvl>
    <w:lvl w:ilvl="7" w:tplc="ADF894FA">
      <w:start w:val="1"/>
      <w:numFmt w:val="lowerLetter"/>
      <w:lvlText w:val="%8."/>
      <w:lvlJc w:val="left"/>
      <w:pPr>
        <w:tabs>
          <w:tab w:val="num" w:pos="3520"/>
        </w:tabs>
        <w:ind w:left="3520" w:hanging="440"/>
      </w:pPr>
      <w:rPr>
        <w:rFonts w:hint="default"/>
      </w:rPr>
    </w:lvl>
    <w:lvl w:ilvl="8" w:tplc="AF68B5E0">
      <w:start w:val="1"/>
      <w:numFmt w:val="lowerRoman"/>
      <w:lvlText w:val="%9."/>
      <w:lvlJc w:val="left"/>
      <w:pPr>
        <w:tabs>
          <w:tab w:val="num" w:pos="3960"/>
        </w:tabs>
        <w:ind w:left="3960" w:hanging="440"/>
      </w:pPr>
      <w:rPr>
        <w:rFonts w:hint="default"/>
      </w:rPr>
    </w:lvl>
  </w:abstractNum>
  <w:abstractNum w:abstractNumId="6">
    <w:nsid w:val="3B3237EB"/>
    <w:multiLevelType w:val="hybridMultilevel"/>
    <w:tmpl w:val="F746BF5E"/>
    <w:lvl w:ilvl="0" w:tplc="FF52747C">
      <w:start w:val="1"/>
      <w:numFmt w:val="bullet"/>
      <w:lvlText w:val=""/>
      <w:lvlJc w:val="left"/>
      <w:pPr>
        <w:ind w:left="440" w:hanging="440"/>
      </w:pPr>
      <w:rPr>
        <w:rFonts w:ascii="Wingdings" w:hAnsi="Wingdings" w:hint="default"/>
      </w:rPr>
    </w:lvl>
    <w:lvl w:ilvl="1" w:tplc="3FCC01D4">
      <w:start w:val="1"/>
      <w:numFmt w:val="bullet"/>
      <w:lvlText w:val=""/>
      <w:lvlJc w:val="left"/>
      <w:pPr>
        <w:ind w:left="880" w:hanging="440"/>
      </w:pPr>
      <w:rPr>
        <w:rFonts w:ascii="Wingdings" w:hAnsi="Wingdings" w:hint="default"/>
      </w:rPr>
    </w:lvl>
    <w:lvl w:ilvl="2" w:tplc="8EF02E44">
      <w:start w:val="1"/>
      <w:numFmt w:val="bullet"/>
      <w:lvlText w:val=""/>
      <w:lvlJc w:val="left"/>
      <w:pPr>
        <w:ind w:left="1320" w:hanging="440"/>
      </w:pPr>
      <w:rPr>
        <w:rFonts w:ascii="Wingdings" w:hAnsi="Wingdings" w:hint="default"/>
      </w:rPr>
    </w:lvl>
    <w:lvl w:ilvl="3" w:tplc="74D0ABF0">
      <w:start w:val="1"/>
      <w:numFmt w:val="bullet"/>
      <w:lvlText w:val=""/>
      <w:lvlJc w:val="left"/>
      <w:pPr>
        <w:ind w:left="1760" w:hanging="440"/>
      </w:pPr>
      <w:rPr>
        <w:rFonts w:ascii="Wingdings" w:hAnsi="Wingdings" w:hint="default"/>
      </w:rPr>
    </w:lvl>
    <w:lvl w:ilvl="4" w:tplc="AF3865EE">
      <w:start w:val="1"/>
      <w:numFmt w:val="bullet"/>
      <w:lvlText w:val=""/>
      <w:lvlJc w:val="left"/>
      <w:pPr>
        <w:ind w:left="2200" w:hanging="440"/>
      </w:pPr>
      <w:rPr>
        <w:rFonts w:ascii="Wingdings" w:hAnsi="Wingdings" w:hint="default"/>
      </w:rPr>
    </w:lvl>
    <w:lvl w:ilvl="5" w:tplc="C660E53A">
      <w:start w:val="1"/>
      <w:numFmt w:val="bullet"/>
      <w:lvlText w:val=""/>
      <w:lvlJc w:val="left"/>
      <w:pPr>
        <w:ind w:left="2640" w:hanging="440"/>
      </w:pPr>
      <w:rPr>
        <w:rFonts w:ascii="Wingdings" w:hAnsi="Wingdings" w:hint="default"/>
      </w:rPr>
    </w:lvl>
    <w:lvl w:ilvl="6" w:tplc="6F92A2DA">
      <w:start w:val="1"/>
      <w:numFmt w:val="bullet"/>
      <w:lvlText w:val=""/>
      <w:lvlJc w:val="left"/>
      <w:pPr>
        <w:ind w:left="3080" w:hanging="440"/>
      </w:pPr>
      <w:rPr>
        <w:rFonts w:ascii="Wingdings" w:hAnsi="Wingdings" w:hint="default"/>
      </w:rPr>
    </w:lvl>
    <w:lvl w:ilvl="7" w:tplc="F51001AA">
      <w:start w:val="1"/>
      <w:numFmt w:val="bullet"/>
      <w:lvlText w:val=""/>
      <w:lvlJc w:val="left"/>
      <w:pPr>
        <w:ind w:left="3520" w:hanging="440"/>
      </w:pPr>
      <w:rPr>
        <w:rFonts w:ascii="Wingdings" w:hAnsi="Wingdings" w:hint="default"/>
      </w:rPr>
    </w:lvl>
    <w:lvl w:ilvl="8" w:tplc="56A8025C">
      <w:start w:val="1"/>
      <w:numFmt w:val="bullet"/>
      <w:lvlText w:val=""/>
      <w:lvlJc w:val="left"/>
      <w:pPr>
        <w:ind w:left="3960" w:hanging="440"/>
      </w:pPr>
      <w:rPr>
        <w:rFonts w:ascii="Wingdings" w:hAnsi="Wingdings" w:hint="default"/>
      </w:rPr>
    </w:lvl>
  </w:abstractNum>
  <w:abstractNum w:abstractNumId="7">
    <w:nsid w:val="3F7B0B1A"/>
    <w:multiLevelType w:val="hybridMultilevel"/>
    <w:tmpl w:val="0D829280"/>
    <w:lvl w:ilvl="0" w:tplc="BFE68AB6">
      <w:start w:val="1"/>
      <w:numFmt w:val="decimal"/>
      <w:lvlText w:val="%1."/>
      <w:lvlJc w:val="left"/>
      <w:pPr>
        <w:tabs>
          <w:tab w:val="num" w:pos="440"/>
        </w:tabs>
        <w:ind w:left="440" w:hanging="440"/>
      </w:pPr>
      <w:rPr>
        <w:rFonts w:hint="default"/>
      </w:rPr>
    </w:lvl>
    <w:lvl w:ilvl="1" w:tplc="F732BCDA">
      <w:start w:val="1"/>
      <w:numFmt w:val="lowerLetter"/>
      <w:lvlText w:val="%2."/>
      <w:lvlJc w:val="left"/>
      <w:pPr>
        <w:tabs>
          <w:tab w:val="num" w:pos="880"/>
        </w:tabs>
        <w:ind w:left="880" w:hanging="440"/>
      </w:pPr>
      <w:rPr>
        <w:rFonts w:hint="default"/>
      </w:rPr>
    </w:lvl>
    <w:lvl w:ilvl="2" w:tplc="8DB6FED0">
      <w:start w:val="1"/>
      <w:numFmt w:val="lowerRoman"/>
      <w:lvlText w:val="%3."/>
      <w:lvlJc w:val="left"/>
      <w:pPr>
        <w:tabs>
          <w:tab w:val="num" w:pos="1320"/>
        </w:tabs>
        <w:ind w:left="1320" w:hanging="440"/>
      </w:pPr>
      <w:rPr>
        <w:rFonts w:hint="default"/>
      </w:rPr>
    </w:lvl>
    <w:lvl w:ilvl="3" w:tplc="3D30B6C4">
      <w:start w:val="1"/>
      <w:numFmt w:val="decimal"/>
      <w:lvlText w:val="%4."/>
      <w:lvlJc w:val="left"/>
      <w:pPr>
        <w:tabs>
          <w:tab w:val="num" w:pos="1760"/>
        </w:tabs>
        <w:ind w:left="1760" w:hanging="440"/>
      </w:pPr>
      <w:rPr>
        <w:rFonts w:hint="default"/>
      </w:rPr>
    </w:lvl>
    <w:lvl w:ilvl="4" w:tplc="0DBC6AAE">
      <w:start w:val="1"/>
      <w:numFmt w:val="lowerLetter"/>
      <w:lvlText w:val="%5."/>
      <w:lvlJc w:val="left"/>
      <w:pPr>
        <w:tabs>
          <w:tab w:val="num" w:pos="2200"/>
        </w:tabs>
        <w:ind w:left="2200" w:hanging="440"/>
      </w:pPr>
      <w:rPr>
        <w:rFonts w:hint="default"/>
      </w:rPr>
    </w:lvl>
    <w:lvl w:ilvl="5" w:tplc="0958C362">
      <w:start w:val="1"/>
      <w:numFmt w:val="lowerRoman"/>
      <w:lvlText w:val="%6."/>
      <w:lvlJc w:val="left"/>
      <w:pPr>
        <w:tabs>
          <w:tab w:val="num" w:pos="2640"/>
        </w:tabs>
        <w:ind w:left="2640" w:hanging="440"/>
      </w:pPr>
      <w:rPr>
        <w:rFonts w:hint="default"/>
      </w:rPr>
    </w:lvl>
    <w:lvl w:ilvl="6" w:tplc="F928061C">
      <w:start w:val="1"/>
      <w:numFmt w:val="decimal"/>
      <w:lvlText w:val="%7."/>
      <w:lvlJc w:val="left"/>
      <w:pPr>
        <w:tabs>
          <w:tab w:val="num" w:pos="3080"/>
        </w:tabs>
        <w:ind w:left="3080" w:hanging="440"/>
      </w:pPr>
      <w:rPr>
        <w:rFonts w:hint="default"/>
      </w:rPr>
    </w:lvl>
    <w:lvl w:ilvl="7" w:tplc="C8944EFC">
      <w:start w:val="1"/>
      <w:numFmt w:val="lowerLetter"/>
      <w:lvlText w:val="%8."/>
      <w:lvlJc w:val="left"/>
      <w:pPr>
        <w:tabs>
          <w:tab w:val="num" w:pos="3520"/>
        </w:tabs>
        <w:ind w:left="3520" w:hanging="440"/>
      </w:pPr>
      <w:rPr>
        <w:rFonts w:hint="default"/>
      </w:rPr>
    </w:lvl>
    <w:lvl w:ilvl="8" w:tplc="96280FE8">
      <w:start w:val="1"/>
      <w:numFmt w:val="lowerRoman"/>
      <w:lvlText w:val="%9."/>
      <w:lvlJc w:val="left"/>
      <w:pPr>
        <w:tabs>
          <w:tab w:val="num" w:pos="3960"/>
        </w:tabs>
        <w:ind w:left="3960" w:hanging="440"/>
      </w:pPr>
      <w:rPr>
        <w:rFonts w:hint="default"/>
      </w:rPr>
    </w:lvl>
  </w:abstractNum>
  <w:abstractNum w:abstractNumId="8">
    <w:nsid w:val="414D6909"/>
    <w:multiLevelType w:val="hybridMultilevel"/>
    <w:tmpl w:val="7E840864"/>
    <w:lvl w:ilvl="0" w:tplc="340E804E">
      <w:start w:val="1"/>
      <w:numFmt w:val="bullet"/>
      <w:lvlText w:val=""/>
      <w:lvlJc w:val="left"/>
      <w:pPr>
        <w:ind w:left="440" w:hanging="440"/>
      </w:pPr>
      <w:rPr>
        <w:rFonts w:ascii="Wingdings" w:hAnsi="Wingdings" w:hint="default"/>
      </w:rPr>
    </w:lvl>
    <w:lvl w:ilvl="1" w:tplc="D89C949C">
      <w:start w:val="1"/>
      <w:numFmt w:val="bullet"/>
      <w:lvlText w:val=""/>
      <w:lvlJc w:val="left"/>
      <w:pPr>
        <w:ind w:left="880" w:hanging="440"/>
      </w:pPr>
      <w:rPr>
        <w:rFonts w:ascii="Wingdings" w:hAnsi="Wingdings" w:hint="default"/>
      </w:rPr>
    </w:lvl>
    <w:lvl w:ilvl="2" w:tplc="D0422C12">
      <w:start w:val="1"/>
      <w:numFmt w:val="bullet"/>
      <w:lvlText w:val=""/>
      <w:lvlJc w:val="left"/>
      <w:pPr>
        <w:ind w:left="1320" w:hanging="440"/>
      </w:pPr>
      <w:rPr>
        <w:rFonts w:ascii="Wingdings" w:hAnsi="Wingdings" w:hint="default"/>
      </w:rPr>
    </w:lvl>
    <w:lvl w:ilvl="3" w:tplc="04F0E842">
      <w:start w:val="1"/>
      <w:numFmt w:val="bullet"/>
      <w:lvlText w:val=""/>
      <w:lvlJc w:val="left"/>
      <w:pPr>
        <w:ind w:left="1760" w:hanging="440"/>
      </w:pPr>
      <w:rPr>
        <w:rFonts w:ascii="Wingdings" w:hAnsi="Wingdings" w:hint="default"/>
      </w:rPr>
    </w:lvl>
    <w:lvl w:ilvl="4" w:tplc="E87441F0">
      <w:start w:val="1"/>
      <w:numFmt w:val="bullet"/>
      <w:lvlText w:val=""/>
      <w:lvlJc w:val="left"/>
      <w:pPr>
        <w:ind w:left="2200" w:hanging="440"/>
      </w:pPr>
      <w:rPr>
        <w:rFonts w:ascii="Wingdings" w:hAnsi="Wingdings" w:hint="default"/>
      </w:rPr>
    </w:lvl>
    <w:lvl w:ilvl="5" w:tplc="2166CF2A">
      <w:start w:val="1"/>
      <w:numFmt w:val="bullet"/>
      <w:lvlText w:val=""/>
      <w:lvlJc w:val="left"/>
      <w:pPr>
        <w:ind w:left="2640" w:hanging="440"/>
      </w:pPr>
      <w:rPr>
        <w:rFonts w:ascii="Wingdings" w:hAnsi="Wingdings" w:hint="default"/>
      </w:rPr>
    </w:lvl>
    <w:lvl w:ilvl="6" w:tplc="1F962394">
      <w:start w:val="1"/>
      <w:numFmt w:val="bullet"/>
      <w:lvlText w:val=""/>
      <w:lvlJc w:val="left"/>
      <w:pPr>
        <w:ind w:left="3080" w:hanging="440"/>
      </w:pPr>
      <w:rPr>
        <w:rFonts w:ascii="Wingdings" w:hAnsi="Wingdings" w:hint="default"/>
      </w:rPr>
    </w:lvl>
    <w:lvl w:ilvl="7" w:tplc="410CCADA">
      <w:start w:val="1"/>
      <w:numFmt w:val="bullet"/>
      <w:lvlText w:val=""/>
      <w:lvlJc w:val="left"/>
      <w:pPr>
        <w:ind w:left="3520" w:hanging="440"/>
      </w:pPr>
      <w:rPr>
        <w:rFonts w:ascii="Wingdings" w:hAnsi="Wingdings" w:hint="default"/>
      </w:rPr>
    </w:lvl>
    <w:lvl w:ilvl="8" w:tplc="C586327E">
      <w:start w:val="1"/>
      <w:numFmt w:val="bullet"/>
      <w:lvlText w:val=""/>
      <w:lvlJc w:val="left"/>
      <w:pPr>
        <w:ind w:left="3960" w:hanging="440"/>
      </w:pPr>
      <w:rPr>
        <w:rFonts w:ascii="Wingdings" w:hAnsi="Wingdings" w:hint="default"/>
      </w:rPr>
    </w:lvl>
  </w:abstractNum>
  <w:abstractNum w:abstractNumId="9">
    <w:nsid w:val="41801EE0"/>
    <w:multiLevelType w:val="hybridMultilevel"/>
    <w:tmpl w:val="67F46980"/>
    <w:lvl w:ilvl="0" w:tplc="E2906586">
      <w:start w:val="1"/>
      <w:numFmt w:val="bullet"/>
      <w:lvlText w:val=""/>
      <w:lvlJc w:val="left"/>
      <w:pPr>
        <w:ind w:left="440" w:hanging="440"/>
      </w:pPr>
      <w:rPr>
        <w:rFonts w:ascii="Wingdings" w:hAnsi="Wingdings" w:hint="default"/>
      </w:rPr>
    </w:lvl>
    <w:lvl w:ilvl="1" w:tplc="42BA339E">
      <w:start w:val="1"/>
      <w:numFmt w:val="bullet"/>
      <w:lvlText w:val=""/>
      <w:lvlJc w:val="left"/>
      <w:pPr>
        <w:ind w:left="880" w:hanging="440"/>
      </w:pPr>
      <w:rPr>
        <w:rFonts w:ascii="Wingdings" w:hAnsi="Wingdings" w:hint="default"/>
      </w:rPr>
    </w:lvl>
    <w:lvl w:ilvl="2" w:tplc="A72844CE">
      <w:start w:val="1"/>
      <w:numFmt w:val="bullet"/>
      <w:lvlText w:val=""/>
      <w:lvlJc w:val="left"/>
      <w:pPr>
        <w:ind w:left="1320" w:hanging="440"/>
      </w:pPr>
      <w:rPr>
        <w:rFonts w:ascii="Wingdings" w:hAnsi="Wingdings" w:hint="default"/>
      </w:rPr>
    </w:lvl>
    <w:lvl w:ilvl="3" w:tplc="25B4EE18">
      <w:start w:val="1"/>
      <w:numFmt w:val="bullet"/>
      <w:lvlText w:val=""/>
      <w:lvlJc w:val="left"/>
      <w:pPr>
        <w:ind w:left="1760" w:hanging="440"/>
      </w:pPr>
      <w:rPr>
        <w:rFonts w:ascii="Wingdings" w:hAnsi="Wingdings" w:hint="default"/>
      </w:rPr>
    </w:lvl>
    <w:lvl w:ilvl="4" w:tplc="C34CD6D4">
      <w:start w:val="1"/>
      <w:numFmt w:val="bullet"/>
      <w:lvlText w:val=""/>
      <w:lvlJc w:val="left"/>
      <w:pPr>
        <w:ind w:left="2200" w:hanging="440"/>
      </w:pPr>
      <w:rPr>
        <w:rFonts w:ascii="Wingdings" w:hAnsi="Wingdings" w:hint="default"/>
      </w:rPr>
    </w:lvl>
    <w:lvl w:ilvl="5" w:tplc="13784662">
      <w:start w:val="1"/>
      <w:numFmt w:val="bullet"/>
      <w:lvlText w:val=""/>
      <w:lvlJc w:val="left"/>
      <w:pPr>
        <w:ind w:left="2640" w:hanging="440"/>
      </w:pPr>
      <w:rPr>
        <w:rFonts w:ascii="Wingdings" w:hAnsi="Wingdings" w:hint="default"/>
      </w:rPr>
    </w:lvl>
    <w:lvl w:ilvl="6" w:tplc="7FCC37F2">
      <w:start w:val="1"/>
      <w:numFmt w:val="bullet"/>
      <w:lvlText w:val=""/>
      <w:lvlJc w:val="left"/>
      <w:pPr>
        <w:ind w:left="3080" w:hanging="440"/>
      </w:pPr>
      <w:rPr>
        <w:rFonts w:ascii="Wingdings" w:hAnsi="Wingdings" w:hint="default"/>
      </w:rPr>
    </w:lvl>
    <w:lvl w:ilvl="7" w:tplc="C1461736">
      <w:start w:val="1"/>
      <w:numFmt w:val="bullet"/>
      <w:lvlText w:val=""/>
      <w:lvlJc w:val="left"/>
      <w:pPr>
        <w:ind w:left="3520" w:hanging="440"/>
      </w:pPr>
      <w:rPr>
        <w:rFonts w:ascii="Wingdings" w:hAnsi="Wingdings" w:hint="default"/>
      </w:rPr>
    </w:lvl>
    <w:lvl w:ilvl="8" w:tplc="F22C2204">
      <w:start w:val="1"/>
      <w:numFmt w:val="bullet"/>
      <w:lvlText w:val=""/>
      <w:lvlJc w:val="left"/>
      <w:pPr>
        <w:ind w:left="3960" w:hanging="440"/>
      </w:pPr>
      <w:rPr>
        <w:rFonts w:ascii="Wingdings" w:hAnsi="Wingdings" w:hint="default"/>
      </w:rPr>
    </w:lvl>
  </w:abstractNum>
  <w:abstractNum w:abstractNumId="10">
    <w:nsid w:val="44F06312"/>
    <w:multiLevelType w:val="hybridMultilevel"/>
    <w:tmpl w:val="F594DFD4"/>
    <w:lvl w:ilvl="0" w:tplc="60D410FE">
      <w:start w:val="1"/>
      <w:numFmt w:val="bullet"/>
      <w:lvlText w:val=""/>
      <w:lvlJc w:val="left"/>
      <w:pPr>
        <w:ind w:left="440" w:hanging="440"/>
      </w:pPr>
      <w:rPr>
        <w:rFonts w:ascii="Wingdings" w:hAnsi="Wingdings" w:hint="default"/>
      </w:rPr>
    </w:lvl>
    <w:lvl w:ilvl="1" w:tplc="4C1AEC84">
      <w:start w:val="1"/>
      <w:numFmt w:val="bullet"/>
      <w:lvlText w:val=""/>
      <w:lvlJc w:val="left"/>
      <w:pPr>
        <w:ind w:left="880" w:hanging="440"/>
      </w:pPr>
      <w:rPr>
        <w:rFonts w:ascii="Wingdings" w:hAnsi="Wingdings" w:hint="default"/>
      </w:rPr>
    </w:lvl>
    <w:lvl w:ilvl="2" w:tplc="10784852">
      <w:start w:val="1"/>
      <w:numFmt w:val="bullet"/>
      <w:lvlText w:val=""/>
      <w:lvlJc w:val="left"/>
      <w:pPr>
        <w:ind w:left="1320" w:hanging="440"/>
      </w:pPr>
      <w:rPr>
        <w:rFonts w:ascii="Wingdings" w:hAnsi="Wingdings" w:hint="default"/>
      </w:rPr>
    </w:lvl>
    <w:lvl w:ilvl="3" w:tplc="EE1E7A6E">
      <w:start w:val="1"/>
      <w:numFmt w:val="bullet"/>
      <w:lvlText w:val=""/>
      <w:lvlJc w:val="left"/>
      <w:pPr>
        <w:ind w:left="1760" w:hanging="440"/>
      </w:pPr>
      <w:rPr>
        <w:rFonts w:ascii="Wingdings" w:hAnsi="Wingdings" w:hint="default"/>
      </w:rPr>
    </w:lvl>
    <w:lvl w:ilvl="4" w:tplc="28D2509E">
      <w:start w:val="1"/>
      <w:numFmt w:val="bullet"/>
      <w:lvlText w:val=""/>
      <w:lvlJc w:val="left"/>
      <w:pPr>
        <w:ind w:left="2200" w:hanging="440"/>
      </w:pPr>
      <w:rPr>
        <w:rFonts w:ascii="Wingdings" w:hAnsi="Wingdings" w:hint="default"/>
      </w:rPr>
    </w:lvl>
    <w:lvl w:ilvl="5" w:tplc="172A0432">
      <w:start w:val="1"/>
      <w:numFmt w:val="bullet"/>
      <w:lvlText w:val=""/>
      <w:lvlJc w:val="left"/>
      <w:pPr>
        <w:ind w:left="2640" w:hanging="440"/>
      </w:pPr>
      <w:rPr>
        <w:rFonts w:ascii="Wingdings" w:hAnsi="Wingdings" w:hint="default"/>
      </w:rPr>
    </w:lvl>
    <w:lvl w:ilvl="6" w:tplc="52501F10">
      <w:start w:val="1"/>
      <w:numFmt w:val="bullet"/>
      <w:lvlText w:val=""/>
      <w:lvlJc w:val="left"/>
      <w:pPr>
        <w:ind w:left="3080" w:hanging="440"/>
      </w:pPr>
      <w:rPr>
        <w:rFonts w:ascii="Wingdings" w:hAnsi="Wingdings" w:hint="default"/>
      </w:rPr>
    </w:lvl>
    <w:lvl w:ilvl="7" w:tplc="F56CD7B0">
      <w:start w:val="1"/>
      <w:numFmt w:val="bullet"/>
      <w:lvlText w:val=""/>
      <w:lvlJc w:val="left"/>
      <w:pPr>
        <w:ind w:left="3520" w:hanging="440"/>
      </w:pPr>
      <w:rPr>
        <w:rFonts w:ascii="Wingdings" w:hAnsi="Wingdings" w:hint="default"/>
      </w:rPr>
    </w:lvl>
    <w:lvl w:ilvl="8" w:tplc="2B6E8274">
      <w:start w:val="1"/>
      <w:numFmt w:val="bullet"/>
      <w:lvlText w:val=""/>
      <w:lvlJc w:val="left"/>
      <w:pPr>
        <w:ind w:left="3960" w:hanging="440"/>
      </w:pPr>
      <w:rPr>
        <w:rFonts w:ascii="Wingdings" w:hAnsi="Wingdings" w:hint="default"/>
      </w:rPr>
    </w:lvl>
  </w:abstractNum>
  <w:abstractNum w:abstractNumId="11">
    <w:nsid w:val="66324D78"/>
    <w:multiLevelType w:val="hybridMultilevel"/>
    <w:tmpl w:val="5D68EE82"/>
    <w:lvl w:ilvl="0" w:tplc="70D048A0">
      <w:start w:val="1"/>
      <w:numFmt w:val="decimal"/>
      <w:lvlText w:val="%1."/>
      <w:lvlJc w:val="left"/>
      <w:pPr>
        <w:tabs>
          <w:tab w:val="num" w:pos="440"/>
        </w:tabs>
        <w:ind w:left="440" w:hanging="440"/>
      </w:pPr>
      <w:rPr>
        <w:rFonts w:hint="default"/>
      </w:rPr>
    </w:lvl>
    <w:lvl w:ilvl="1" w:tplc="B1940EE6">
      <w:start w:val="1"/>
      <w:numFmt w:val="lowerLetter"/>
      <w:lvlText w:val="%2."/>
      <w:lvlJc w:val="left"/>
      <w:pPr>
        <w:tabs>
          <w:tab w:val="num" w:pos="880"/>
        </w:tabs>
        <w:ind w:left="880" w:hanging="440"/>
      </w:pPr>
      <w:rPr>
        <w:rFonts w:hint="default"/>
      </w:rPr>
    </w:lvl>
    <w:lvl w:ilvl="2" w:tplc="09C8A9E4">
      <w:start w:val="1"/>
      <w:numFmt w:val="lowerRoman"/>
      <w:lvlText w:val="%3."/>
      <w:lvlJc w:val="left"/>
      <w:pPr>
        <w:tabs>
          <w:tab w:val="num" w:pos="1320"/>
        </w:tabs>
        <w:ind w:left="1320" w:hanging="440"/>
      </w:pPr>
      <w:rPr>
        <w:rFonts w:hint="default"/>
      </w:rPr>
    </w:lvl>
    <w:lvl w:ilvl="3" w:tplc="24C28764">
      <w:start w:val="1"/>
      <w:numFmt w:val="decimal"/>
      <w:lvlText w:val="%4."/>
      <w:lvlJc w:val="left"/>
      <w:pPr>
        <w:tabs>
          <w:tab w:val="num" w:pos="1760"/>
        </w:tabs>
        <w:ind w:left="1760" w:hanging="440"/>
      </w:pPr>
      <w:rPr>
        <w:rFonts w:hint="default"/>
      </w:rPr>
    </w:lvl>
    <w:lvl w:ilvl="4" w:tplc="6ECC21C8">
      <w:start w:val="1"/>
      <w:numFmt w:val="lowerLetter"/>
      <w:lvlText w:val="%5."/>
      <w:lvlJc w:val="left"/>
      <w:pPr>
        <w:tabs>
          <w:tab w:val="num" w:pos="2200"/>
        </w:tabs>
        <w:ind w:left="2200" w:hanging="440"/>
      </w:pPr>
      <w:rPr>
        <w:rFonts w:hint="default"/>
      </w:rPr>
    </w:lvl>
    <w:lvl w:ilvl="5" w:tplc="6032C40C">
      <w:start w:val="1"/>
      <w:numFmt w:val="lowerRoman"/>
      <w:lvlText w:val="%6."/>
      <w:lvlJc w:val="left"/>
      <w:pPr>
        <w:tabs>
          <w:tab w:val="num" w:pos="2640"/>
        </w:tabs>
        <w:ind w:left="2640" w:hanging="440"/>
      </w:pPr>
      <w:rPr>
        <w:rFonts w:hint="default"/>
      </w:rPr>
    </w:lvl>
    <w:lvl w:ilvl="6" w:tplc="98D6C9AC">
      <w:start w:val="1"/>
      <w:numFmt w:val="decimal"/>
      <w:lvlText w:val="%7."/>
      <w:lvlJc w:val="left"/>
      <w:pPr>
        <w:tabs>
          <w:tab w:val="num" w:pos="3080"/>
        </w:tabs>
        <w:ind w:left="3080" w:hanging="440"/>
      </w:pPr>
      <w:rPr>
        <w:rFonts w:hint="default"/>
      </w:rPr>
    </w:lvl>
    <w:lvl w:ilvl="7" w:tplc="7BDE5FEE">
      <w:start w:val="1"/>
      <w:numFmt w:val="lowerLetter"/>
      <w:lvlText w:val="%8."/>
      <w:lvlJc w:val="left"/>
      <w:pPr>
        <w:tabs>
          <w:tab w:val="num" w:pos="3520"/>
        </w:tabs>
        <w:ind w:left="3520" w:hanging="440"/>
      </w:pPr>
      <w:rPr>
        <w:rFonts w:hint="default"/>
      </w:rPr>
    </w:lvl>
    <w:lvl w:ilvl="8" w:tplc="C2B63EB4">
      <w:start w:val="1"/>
      <w:numFmt w:val="lowerRoman"/>
      <w:lvlText w:val="%9."/>
      <w:lvlJc w:val="left"/>
      <w:pPr>
        <w:tabs>
          <w:tab w:val="num" w:pos="3960"/>
        </w:tabs>
        <w:ind w:left="3960" w:hanging="440"/>
      </w:pPr>
      <w:rPr>
        <w:rFonts w:hint="default"/>
      </w:rPr>
    </w:lvl>
  </w:abstractNum>
  <w:abstractNum w:abstractNumId="12">
    <w:nsid w:val="6B607F38"/>
    <w:multiLevelType w:val="hybridMultilevel"/>
    <w:tmpl w:val="DA36F1EE"/>
    <w:lvl w:ilvl="0" w:tplc="FFE23D26">
      <w:start w:val="1"/>
      <w:numFmt w:val="decimal"/>
      <w:lvlText w:val="%1."/>
      <w:lvlJc w:val="left"/>
      <w:pPr>
        <w:tabs>
          <w:tab w:val="num" w:pos="440"/>
        </w:tabs>
        <w:ind w:left="440" w:hanging="440"/>
      </w:pPr>
      <w:rPr>
        <w:rFonts w:hint="default"/>
      </w:rPr>
    </w:lvl>
    <w:lvl w:ilvl="1" w:tplc="455A1006">
      <w:start w:val="1"/>
      <w:numFmt w:val="lowerLetter"/>
      <w:lvlText w:val="%2."/>
      <w:lvlJc w:val="left"/>
      <w:pPr>
        <w:tabs>
          <w:tab w:val="num" w:pos="880"/>
        </w:tabs>
        <w:ind w:left="880" w:hanging="440"/>
      </w:pPr>
      <w:rPr>
        <w:rFonts w:hint="default"/>
      </w:rPr>
    </w:lvl>
    <w:lvl w:ilvl="2" w:tplc="15D29D6A">
      <w:start w:val="1"/>
      <w:numFmt w:val="lowerRoman"/>
      <w:lvlText w:val="%3."/>
      <w:lvlJc w:val="left"/>
      <w:pPr>
        <w:tabs>
          <w:tab w:val="num" w:pos="1320"/>
        </w:tabs>
        <w:ind w:left="1320" w:hanging="440"/>
      </w:pPr>
      <w:rPr>
        <w:rFonts w:hint="default"/>
      </w:rPr>
    </w:lvl>
    <w:lvl w:ilvl="3" w:tplc="5A6C3970">
      <w:start w:val="1"/>
      <w:numFmt w:val="decimal"/>
      <w:lvlText w:val="%4."/>
      <w:lvlJc w:val="left"/>
      <w:pPr>
        <w:tabs>
          <w:tab w:val="num" w:pos="1760"/>
        </w:tabs>
        <w:ind w:left="1760" w:hanging="440"/>
      </w:pPr>
      <w:rPr>
        <w:rFonts w:hint="default"/>
      </w:rPr>
    </w:lvl>
    <w:lvl w:ilvl="4" w:tplc="0C9AF452">
      <w:start w:val="1"/>
      <w:numFmt w:val="lowerLetter"/>
      <w:lvlText w:val="%5."/>
      <w:lvlJc w:val="left"/>
      <w:pPr>
        <w:tabs>
          <w:tab w:val="num" w:pos="2200"/>
        </w:tabs>
        <w:ind w:left="2200" w:hanging="440"/>
      </w:pPr>
      <w:rPr>
        <w:rFonts w:hint="default"/>
      </w:rPr>
    </w:lvl>
    <w:lvl w:ilvl="5" w:tplc="82CE9092">
      <w:start w:val="1"/>
      <w:numFmt w:val="lowerRoman"/>
      <w:lvlText w:val="%6."/>
      <w:lvlJc w:val="left"/>
      <w:pPr>
        <w:tabs>
          <w:tab w:val="num" w:pos="2640"/>
        </w:tabs>
        <w:ind w:left="2640" w:hanging="440"/>
      </w:pPr>
      <w:rPr>
        <w:rFonts w:hint="default"/>
      </w:rPr>
    </w:lvl>
    <w:lvl w:ilvl="6" w:tplc="C88892C4">
      <w:start w:val="1"/>
      <w:numFmt w:val="decimal"/>
      <w:lvlText w:val="%7."/>
      <w:lvlJc w:val="left"/>
      <w:pPr>
        <w:tabs>
          <w:tab w:val="num" w:pos="3080"/>
        </w:tabs>
        <w:ind w:left="3080" w:hanging="440"/>
      </w:pPr>
      <w:rPr>
        <w:rFonts w:hint="default"/>
      </w:rPr>
    </w:lvl>
    <w:lvl w:ilvl="7" w:tplc="E110DB70">
      <w:start w:val="1"/>
      <w:numFmt w:val="lowerLetter"/>
      <w:lvlText w:val="%8."/>
      <w:lvlJc w:val="left"/>
      <w:pPr>
        <w:tabs>
          <w:tab w:val="num" w:pos="3520"/>
        </w:tabs>
        <w:ind w:left="3520" w:hanging="440"/>
      </w:pPr>
      <w:rPr>
        <w:rFonts w:hint="default"/>
      </w:rPr>
    </w:lvl>
    <w:lvl w:ilvl="8" w:tplc="E218700E">
      <w:start w:val="1"/>
      <w:numFmt w:val="lowerRoman"/>
      <w:lvlText w:val="%9."/>
      <w:lvlJc w:val="left"/>
      <w:pPr>
        <w:tabs>
          <w:tab w:val="num" w:pos="3960"/>
        </w:tabs>
        <w:ind w:left="3960" w:hanging="440"/>
      </w:pPr>
      <w:rPr>
        <w:rFonts w:hint="default"/>
      </w:rPr>
    </w:lvl>
  </w:abstractNum>
  <w:abstractNum w:abstractNumId="13">
    <w:nsid w:val="73500C98"/>
    <w:multiLevelType w:val="hybridMultilevel"/>
    <w:tmpl w:val="5C64F39E"/>
    <w:lvl w:ilvl="0" w:tplc="865AB0DA">
      <w:start w:val="1"/>
      <w:numFmt w:val="decimal"/>
      <w:lvlText w:val="%1."/>
      <w:lvlJc w:val="left"/>
      <w:pPr>
        <w:tabs>
          <w:tab w:val="num" w:pos="440"/>
        </w:tabs>
        <w:ind w:left="440" w:hanging="440"/>
      </w:pPr>
      <w:rPr>
        <w:rFonts w:hint="default"/>
      </w:rPr>
    </w:lvl>
    <w:lvl w:ilvl="1" w:tplc="50A4246A">
      <w:start w:val="1"/>
      <w:numFmt w:val="lowerLetter"/>
      <w:lvlText w:val="%2."/>
      <w:lvlJc w:val="left"/>
      <w:pPr>
        <w:tabs>
          <w:tab w:val="num" w:pos="880"/>
        </w:tabs>
        <w:ind w:left="880" w:hanging="440"/>
      </w:pPr>
      <w:rPr>
        <w:rFonts w:hint="default"/>
      </w:rPr>
    </w:lvl>
    <w:lvl w:ilvl="2" w:tplc="4628C29E">
      <w:start w:val="1"/>
      <w:numFmt w:val="lowerRoman"/>
      <w:lvlText w:val="%3."/>
      <w:lvlJc w:val="left"/>
      <w:pPr>
        <w:tabs>
          <w:tab w:val="num" w:pos="1320"/>
        </w:tabs>
        <w:ind w:left="1320" w:hanging="440"/>
      </w:pPr>
      <w:rPr>
        <w:rFonts w:hint="default"/>
      </w:rPr>
    </w:lvl>
    <w:lvl w:ilvl="3" w:tplc="9814BF78">
      <w:start w:val="1"/>
      <w:numFmt w:val="decimal"/>
      <w:lvlText w:val="%4."/>
      <w:lvlJc w:val="left"/>
      <w:pPr>
        <w:tabs>
          <w:tab w:val="num" w:pos="1760"/>
        </w:tabs>
        <w:ind w:left="1760" w:hanging="440"/>
      </w:pPr>
      <w:rPr>
        <w:rFonts w:hint="default"/>
      </w:rPr>
    </w:lvl>
    <w:lvl w:ilvl="4" w:tplc="D80CE302">
      <w:start w:val="1"/>
      <w:numFmt w:val="lowerLetter"/>
      <w:lvlText w:val="%5."/>
      <w:lvlJc w:val="left"/>
      <w:pPr>
        <w:tabs>
          <w:tab w:val="num" w:pos="2200"/>
        </w:tabs>
        <w:ind w:left="2200" w:hanging="440"/>
      </w:pPr>
      <w:rPr>
        <w:rFonts w:hint="default"/>
      </w:rPr>
    </w:lvl>
    <w:lvl w:ilvl="5" w:tplc="863E632E">
      <w:start w:val="1"/>
      <w:numFmt w:val="lowerRoman"/>
      <w:lvlText w:val="%6."/>
      <w:lvlJc w:val="left"/>
      <w:pPr>
        <w:tabs>
          <w:tab w:val="num" w:pos="2640"/>
        </w:tabs>
        <w:ind w:left="2640" w:hanging="440"/>
      </w:pPr>
      <w:rPr>
        <w:rFonts w:hint="default"/>
      </w:rPr>
    </w:lvl>
    <w:lvl w:ilvl="6" w:tplc="67823C22">
      <w:start w:val="1"/>
      <w:numFmt w:val="decimal"/>
      <w:lvlText w:val="%7."/>
      <w:lvlJc w:val="left"/>
      <w:pPr>
        <w:tabs>
          <w:tab w:val="num" w:pos="3080"/>
        </w:tabs>
        <w:ind w:left="3080" w:hanging="440"/>
      </w:pPr>
      <w:rPr>
        <w:rFonts w:hint="default"/>
      </w:rPr>
    </w:lvl>
    <w:lvl w:ilvl="7" w:tplc="46EE684A">
      <w:start w:val="1"/>
      <w:numFmt w:val="lowerLetter"/>
      <w:lvlText w:val="%8."/>
      <w:lvlJc w:val="left"/>
      <w:pPr>
        <w:tabs>
          <w:tab w:val="num" w:pos="3520"/>
        </w:tabs>
        <w:ind w:left="3520" w:hanging="440"/>
      </w:pPr>
      <w:rPr>
        <w:rFonts w:hint="default"/>
      </w:rPr>
    </w:lvl>
    <w:lvl w:ilvl="8" w:tplc="53B8163A">
      <w:start w:val="1"/>
      <w:numFmt w:val="lowerRoman"/>
      <w:lvlText w:val="%9."/>
      <w:lvlJc w:val="left"/>
      <w:pPr>
        <w:tabs>
          <w:tab w:val="num" w:pos="3960"/>
        </w:tabs>
        <w:ind w:left="3960" w:hanging="440"/>
      </w:pPr>
      <w:rPr>
        <w:rFonts w:hint="default"/>
      </w:rPr>
    </w:lvl>
  </w:abstractNum>
  <w:abstractNum w:abstractNumId="14">
    <w:nsid w:val="77960051"/>
    <w:multiLevelType w:val="hybridMultilevel"/>
    <w:tmpl w:val="96105D14"/>
    <w:lvl w:ilvl="0" w:tplc="4B509340">
      <w:start w:val="1"/>
      <w:numFmt w:val="decimal"/>
      <w:lvlText w:val="%1."/>
      <w:lvlJc w:val="left"/>
      <w:pPr>
        <w:tabs>
          <w:tab w:val="num" w:pos="440"/>
        </w:tabs>
        <w:ind w:left="440" w:hanging="440"/>
      </w:pPr>
      <w:rPr>
        <w:rFonts w:hint="default"/>
      </w:rPr>
    </w:lvl>
    <w:lvl w:ilvl="1" w:tplc="AA8AF218">
      <w:start w:val="1"/>
      <w:numFmt w:val="lowerLetter"/>
      <w:lvlText w:val="%2."/>
      <w:lvlJc w:val="left"/>
      <w:pPr>
        <w:tabs>
          <w:tab w:val="num" w:pos="880"/>
        </w:tabs>
        <w:ind w:left="880" w:hanging="440"/>
      </w:pPr>
      <w:rPr>
        <w:rFonts w:hint="default"/>
      </w:rPr>
    </w:lvl>
    <w:lvl w:ilvl="2" w:tplc="42D8B280">
      <w:start w:val="1"/>
      <w:numFmt w:val="lowerRoman"/>
      <w:lvlText w:val="%3."/>
      <w:lvlJc w:val="left"/>
      <w:pPr>
        <w:tabs>
          <w:tab w:val="num" w:pos="1320"/>
        </w:tabs>
        <w:ind w:left="1320" w:hanging="440"/>
      </w:pPr>
      <w:rPr>
        <w:rFonts w:hint="default"/>
      </w:rPr>
    </w:lvl>
    <w:lvl w:ilvl="3" w:tplc="667C1540">
      <w:start w:val="1"/>
      <w:numFmt w:val="decimal"/>
      <w:lvlText w:val="%4."/>
      <w:lvlJc w:val="left"/>
      <w:pPr>
        <w:tabs>
          <w:tab w:val="num" w:pos="1760"/>
        </w:tabs>
        <w:ind w:left="1760" w:hanging="440"/>
      </w:pPr>
      <w:rPr>
        <w:rFonts w:hint="default"/>
      </w:rPr>
    </w:lvl>
    <w:lvl w:ilvl="4" w:tplc="7AF8FEAC">
      <w:start w:val="1"/>
      <w:numFmt w:val="lowerLetter"/>
      <w:lvlText w:val="%5."/>
      <w:lvlJc w:val="left"/>
      <w:pPr>
        <w:tabs>
          <w:tab w:val="num" w:pos="2200"/>
        </w:tabs>
        <w:ind w:left="2200" w:hanging="440"/>
      </w:pPr>
      <w:rPr>
        <w:rFonts w:hint="default"/>
      </w:rPr>
    </w:lvl>
    <w:lvl w:ilvl="5" w:tplc="CB841E0C">
      <w:start w:val="1"/>
      <w:numFmt w:val="lowerRoman"/>
      <w:lvlText w:val="%6."/>
      <w:lvlJc w:val="left"/>
      <w:pPr>
        <w:tabs>
          <w:tab w:val="num" w:pos="2640"/>
        </w:tabs>
        <w:ind w:left="2640" w:hanging="440"/>
      </w:pPr>
      <w:rPr>
        <w:rFonts w:hint="default"/>
      </w:rPr>
    </w:lvl>
    <w:lvl w:ilvl="6" w:tplc="37FC2212">
      <w:start w:val="1"/>
      <w:numFmt w:val="decimal"/>
      <w:lvlText w:val="%7."/>
      <w:lvlJc w:val="left"/>
      <w:pPr>
        <w:tabs>
          <w:tab w:val="num" w:pos="3080"/>
        </w:tabs>
        <w:ind w:left="3080" w:hanging="440"/>
      </w:pPr>
      <w:rPr>
        <w:rFonts w:hint="default"/>
      </w:rPr>
    </w:lvl>
    <w:lvl w:ilvl="7" w:tplc="5A66758E">
      <w:start w:val="1"/>
      <w:numFmt w:val="lowerLetter"/>
      <w:lvlText w:val="%8."/>
      <w:lvlJc w:val="left"/>
      <w:pPr>
        <w:tabs>
          <w:tab w:val="num" w:pos="3520"/>
        </w:tabs>
        <w:ind w:left="3520" w:hanging="440"/>
      </w:pPr>
      <w:rPr>
        <w:rFonts w:hint="default"/>
      </w:rPr>
    </w:lvl>
    <w:lvl w:ilvl="8" w:tplc="34308A78">
      <w:start w:val="1"/>
      <w:numFmt w:val="lowerRoman"/>
      <w:lvlText w:val="%9."/>
      <w:lvlJc w:val="left"/>
      <w:pPr>
        <w:tabs>
          <w:tab w:val="num" w:pos="3960"/>
        </w:tabs>
        <w:ind w:left="3960" w:hanging="440"/>
      </w:pPr>
      <w:rPr>
        <w:rFonts w:hint="default"/>
      </w:rPr>
    </w:lvl>
  </w:abstractNum>
  <w:abstractNum w:abstractNumId="15">
    <w:nsid w:val="7F9418BD"/>
    <w:multiLevelType w:val="hybridMultilevel"/>
    <w:tmpl w:val="8952937C"/>
    <w:lvl w:ilvl="0" w:tplc="81761D52">
      <w:start w:val="1"/>
      <w:numFmt w:val="bullet"/>
      <w:lvlText w:val=""/>
      <w:lvlJc w:val="left"/>
      <w:pPr>
        <w:ind w:left="440" w:hanging="440"/>
      </w:pPr>
      <w:rPr>
        <w:rFonts w:ascii="Wingdings" w:hAnsi="Wingdings" w:hint="default"/>
      </w:rPr>
    </w:lvl>
    <w:lvl w:ilvl="1" w:tplc="1C54312E">
      <w:start w:val="1"/>
      <w:numFmt w:val="bullet"/>
      <w:lvlText w:val=""/>
      <w:lvlJc w:val="left"/>
      <w:pPr>
        <w:ind w:left="880" w:hanging="440"/>
      </w:pPr>
      <w:rPr>
        <w:rFonts w:ascii="Wingdings" w:hAnsi="Wingdings" w:hint="default"/>
      </w:rPr>
    </w:lvl>
    <w:lvl w:ilvl="2" w:tplc="264451B6">
      <w:start w:val="1"/>
      <w:numFmt w:val="bullet"/>
      <w:lvlText w:val=""/>
      <w:lvlJc w:val="left"/>
      <w:pPr>
        <w:ind w:left="1320" w:hanging="440"/>
      </w:pPr>
      <w:rPr>
        <w:rFonts w:ascii="Wingdings" w:hAnsi="Wingdings" w:hint="default"/>
      </w:rPr>
    </w:lvl>
    <w:lvl w:ilvl="3" w:tplc="2AE2A8E6">
      <w:start w:val="1"/>
      <w:numFmt w:val="bullet"/>
      <w:lvlText w:val=""/>
      <w:lvlJc w:val="left"/>
      <w:pPr>
        <w:ind w:left="1760" w:hanging="440"/>
      </w:pPr>
      <w:rPr>
        <w:rFonts w:ascii="Wingdings" w:hAnsi="Wingdings" w:hint="default"/>
      </w:rPr>
    </w:lvl>
    <w:lvl w:ilvl="4" w:tplc="034A6A32">
      <w:start w:val="1"/>
      <w:numFmt w:val="bullet"/>
      <w:lvlText w:val=""/>
      <w:lvlJc w:val="left"/>
      <w:pPr>
        <w:ind w:left="2200" w:hanging="440"/>
      </w:pPr>
      <w:rPr>
        <w:rFonts w:ascii="Wingdings" w:hAnsi="Wingdings" w:hint="default"/>
      </w:rPr>
    </w:lvl>
    <w:lvl w:ilvl="5" w:tplc="96BE7244">
      <w:start w:val="1"/>
      <w:numFmt w:val="bullet"/>
      <w:lvlText w:val=""/>
      <w:lvlJc w:val="left"/>
      <w:pPr>
        <w:ind w:left="2640" w:hanging="440"/>
      </w:pPr>
      <w:rPr>
        <w:rFonts w:ascii="Wingdings" w:hAnsi="Wingdings" w:hint="default"/>
      </w:rPr>
    </w:lvl>
    <w:lvl w:ilvl="6" w:tplc="F9F00746">
      <w:start w:val="1"/>
      <w:numFmt w:val="bullet"/>
      <w:lvlText w:val=""/>
      <w:lvlJc w:val="left"/>
      <w:pPr>
        <w:ind w:left="3080" w:hanging="440"/>
      </w:pPr>
      <w:rPr>
        <w:rFonts w:ascii="Wingdings" w:hAnsi="Wingdings" w:hint="default"/>
      </w:rPr>
    </w:lvl>
    <w:lvl w:ilvl="7" w:tplc="4644F922">
      <w:start w:val="1"/>
      <w:numFmt w:val="bullet"/>
      <w:lvlText w:val=""/>
      <w:lvlJc w:val="left"/>
      <w:pPr>
        <w:ind w:left="3520" w:hanging="440"/>
      </w:pPr>
      <w:rPr>
        <w:rFonts w:ascii="Wingdings" w:hAnsi="Wingdings" w:hint="default"/>
      </w:rPr>
    </w:lvl>
    <w:lvl w:ilvl="8" w:tplc="4E522182">
      <w:start w:val="1"/>
      <w:numFmt w:val="bullet"/>
      <w:lvlText w:val=""/>
      <w:lvlJc w:val="left"/>
      <w:pPr>
        <w:ind w:left="3960" w:hanging="440"/>
      </w:pPr>
      <w:rPr>
        <w:rFonts w:ascii="Wingdings" w:hAnsi="Wingdings" w:hint="default"/>
      </w:rPr>
    </w:lvl>
  </w:abstractNum>
  <w:num w:numId="1">
    <w:abstractNumId w:val="13"/>
  </w:num>
  <w:num w:numId="2">
    <w:abstractNumId w:val="2"/>
  </w:num>
  <w:num w:numId="3">
    <w:abstractNumId w:val="3"/>
  </w:num>
  <w:num w:numId="4">
    <w:abstractNumId w:val="11"/>
  </w:num>
  <w:num w:numId="5">
    <w:abstractNumId w:val="15"/>
  </w:num>
  <w:num w:numId="6">
    <w:abstractNumId w:val="14"/>
  </w:num>
  <w:num w:numId="7">
    <w:abstractNumId w:val="10"/>
  </w:num>
  <w:num w:numId="8">
    <w:abstractNumId w:val="1"/>
  </w:num>
  <w:num w:numId="9">
    <w:abstractNumId w:val="6"/>
  </w:num>
  <w:num w:numId="10">
    <w:abstractNumId w:val="0"/>
  </w:num>
  <w:num w:numId="11">
    <w:abstractNumId w:val="8"/>
  </w:num>
  <w:num w:numId="12">
    <w:abstractNumId w:val="7"/>
  </w:num>
  <w:num w:numId="13">
    <w:abstractNumId w:val="9"/>
  </w:num>
  <w:num w:numId="14">
    <w:abstractNumId w:val="4"/>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doNotExpandShiftReturn/>
  </w:compat>
  <w:rsids>
    <w:rsidRoot w:val="00FF5C24"/>
    <w:rsid w:val="006F5789"/>
    <w:rsid w:val="00937EA3"/>
    <w:rsid w:val="00FF5C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FF5C24"/>
    <w:rPr>
      <w:color w:val="0000FF" w:themeColor="hyperlink"/>
      <w:u w:val="single"/>
    </w:rPr>
  </w:style>
  <w:style w:type="table" w:styleId="ac">
    <w:name w:val="Table Grid"/>
    <w:basedOn w:val="a1"/>
    <w:uiPriority w:val="59"/>
    <w:rsid w:val="00FF5C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 w:type="paragraph" w:styleId="ae">
    <w:name w:val="Balloon Text"/>
    <w:basedOn w:val="a"/>
    <w:link w:val="af"/>
    <w:uiPriority w:val="99"/>
    <w:semiHidden/>
    <w:unhideWhenUsed/>
    <w:rsid w:val="006F5789"/>
    <w:pPr>
      <w:spacing w:after="0"/>
    </w:pPr>
    <w:rPr>
      <w:rFonts w:ascii="Tahoma" w:hAnsi="Tahoma" w:cs="Tahoma"/>
      <w:sz w:val="16"/>
      <w:szCs w:val="16"/>
    </w:rPr>
  </w:style>
  <w:style w:type="character" w:customStyle="1" w:styleId="af">
    <w:name w:val="Текст выноски Знак"/>
    <w:basedOn w:val="a0"/>
    <w:link w:val="ae"/>
    <w:uiPriority w:val="99"/>
    <w:semiHidden/>
    <w:rsid w:val="006F5789"/>
    <w:rPr>
      <w:rFonts w:ascii="Tahoma" w:eastAsia="等线"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32272</Words>
  <Characters>183957</Characters>
  <Application>Microsoft Office Word</Application>
  <DocSecurity>0</DocSecurity>
  <Lines>1532</Lines>
  <Paragraphs>431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hr.murtazaev</cp:lastModifiedBy>
  <cp:revision>3</cp:revision>
  <dcterms:created xsi:type="dcterms:W3CDTF">2025-06-27T14:12:00Z</dcterms:created>
  <dcterms:modified xsi:type="dcterms:W3CDTF">2025-06-27T14:24:00Z</dcterms:modified>
</cp:coreProperties>
</file>