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xecutive-summary-en"/>
    <w:p>
      <w:pPr>
        <w:pStyle w:val="Heading3"/>
      </w:pPr>
      <w:r>
        <w:t xml:space="preserve">Executive Summary (EN)</w:t>
      </w:r>
    </w:p>
    <w:p>
      <w:pPr>
        <w:pStyle w:val="FirstParagraph"/>
      </w:pPr>
      <w:r>
        <w:t xml:space="preserve">AIUZ: Universal semantic framework with DAO, ethics, multilingual thesaurus. Suitable for AI governance, lexicography, digital memory systems.</w:t>
      </w:r>
    </w:p>
    <w:bookmarkEnd w:id="20"/>
    <w:bookmarkStart w:id="21" w:name="executive-summary-ru"/>
    <w:p>
      <w:pPr>
        <w:pStyle w:val="Heading3"/>
      </w:pPr>
      <w:r>
        <w:t xml:space="preserve">Executive Summary (RU)</w:t>
      </w:r>
    </w:p>
    <w:p>
      <w:pPr>
        <w:pStyle w:val="FirstParagraph"/>
      </w:pPr>
      <w:r>
        <w:t xml:space="preserve">AIUZ: Универсальная семантическая структура с DAO, этикой, многоязычным тезаурусом. Подходит для ИИ-управления, лексикографии и цифровой памяти.</w:t>
      </w:r>
    </w:p>
    <w:bookmarkEnd w:id="21"/>
    <w:bookmarkStart w:id="22" w:name="executive-summary-uz"/>
    <w:p>
      <w:pPr>
        <w:pStyle w:val="Heading3"/>
      </w:pPr>
      <w:r>
        <w:t xml:space="preserve">Executive Summary (UZ)</w:t>
      </w:r>
    </w:p>
    <w:p>
      <w:pPr>
        <w:pStyle w:val="FirstParagraph"/>
      </w:pPr>
      <w:r>
        <w:t xml:space="preserve">AIUZ: DAO, etika, ko‘p tilli tesaurus asosida universal semantik tizim. AI boshqaruvi, leksikografiya va raqamli xotira tizimlari uchun mos.</w:t>
      </w:r>
    </w:p>
    <w:p>
      <w:r>
        <w:pict>
          <v:rect style="width:0;height:1.5pt" o:hralign="center" o:hrstd="t" o:hr="t"/>
        </w:pict>
      </w:r>
    </w:p>
    <w:bookmarkEnd w:id="22"/>
    <w:bookmarkStart w:id="23" w:name="grant-submissions-en"/>
    <w:p>
      <w:pPr>
        <w:pStyle w:val="Heading3"/>
      </w:pPr>
      <w:r>
        <w:t xml:space="preserve">Grant Submissions (EN)</w:t>
      </w:r>
    </w:p>
    <w:p>
      <w:pPr>
        <w:pStyle w:val="FirstParagraph"/>
      </w:pPr>
      <w:r>
        <w:t xml:space="preserve">Templates for Horizon Europe, UNDP, TASMU. Includes multilingual, ethical AI, DAO protocol, ontology structure.</w:t>
      </w:r>
    </w:p>
    <w:bookmarkEnd w:id="23"/>
    <w:bookmarkStart w:id="24" w:name="grant-submissions-ru"/>
    <w:p>
      <w:pPr>
        <w:pStyle w:val="Heading3"/>
      </w:pPr>
      <w:r>
        <w:t xml:space="preserve">Grant Submissions (RU)</w:t>
      </w:r>
    </w:p>
    <w:p>
      <w:pPr>
        <w:pStyle w:val="FirstParagraph"/>
      </w:pPr>
      <w:r>
        <w:t xml:space="preserve">Шаблоны для Horizon Europe, UNDP, TASMU. Многоязычные, этичные ИИ-протоколы, DAO, онтология.</w:t>
      </w:r>
    </w:p>
    <w:bookmarkEnd w:id="24"/>
    <w:bookmarkStart w:id="25" w:name="grant-submissions-uz"/>
    <w:p>
      <w:pPr>
        <w:pStyle w:val="Heading3"/>
      </w:pPr>
      <w:r>
        <w:t xml:space="preserve">Grant Submissions (UZ)</w:t>
      </w:r>
    </w:p>
    <w:p>
      <w:pPr>
        <w:pStyle w:val="FirstParagraph"/>
      </w:pPr>
      <w:r>
        <w:t xml:space="preserve">Horizon Europe, UNDP, TASMU uchun shablonlar. Ko‘p tilli, axloqiy AI, DAO protokoli, ontologik tuzilma.</w:t>
      </w:r>
    </w:p>
    <w:p>
      <w:r>
        <w:pict>
          <v:rect style="width:0;height:1.5pt" o:hralign="center" o:hrstd="t" o:hr="t"/>
        </w:pict>
      </w:r>
    </w:p>
    <w:bookmarkEnd w:id="25"/>
    <w:bookmarkStart w:id="26" w:name="comparative-review-en"/>
    <w:p>
      <w:pPr>
        <w:pStyle w:val="Heading3"/>
      </w:pPr>
      <w:r>
        <w:t xml:space="preserve">Comparative Review (EN)</w:t>
      </w:r>
    </w:p>
    <w:p>
      <w:pPr>
        <w:pStyle w:val="FirstParagraph"/>
      </w:pPr>
      <w:r>
        <w:t xml:space="preserve">AIUZ vs OpenAI, BabelNet, DAO systems: AIUZ uniquely merges ethics, semantics, DAO, lexicon—echoes sci-fi like Lem and Borges.</w:t>
      </w:r>
    </w:p>
    <w:bookmarkEnd w:id="26"/>
    <w:bookmarkStart w:id="27" w:name="comparative-review-ru"/>
    <w:p>
      <w:pPr>
        <w:pStyle w:val="Heading3"/>
      </w:pPr>
      <w:r>
        <w:t xml:space="preserve">Comparative Review (RU)</w:t>
      </w:r>
    </w:p>
    <w:p>
      <w:pPr>
        <w:pStyle w:val="FirstParagraph"/>
      </w:pPr>
      <w:r>
        <w:t xml:space="preserve">AIUZ против OpenAI, BabelNet, DAO: AIUZ объединяет этику, семантику, DAO, лексикон — отголоски Лема и Борхеса.</w:t>
      </w:r>
    </w:p>
    <w:bookmarkEnd w:id="27"/>
    <w:bookmarkStart w:id="28" w:name="comparative-review-uz"/>
    <w:p>
      <w:pPr>
        <w:pStyle w:val="Heading3"/>
      </w:pPr>
      <w:r>
        <w:t xml:space="preserve">Comparative Review (UZ)</w:t>
      </w:r>
    </w:p>
    <w:p>
      <w:pPr>
        <w:pStyle w:val="FirstParagraph"/>
      </w:pPr>
      <w:r>
        <w:t xml:space="preserve">AIUZ va OpenAI, BabelNet, DAO tizimlari: AIUZ etika, semantika, DAO va leksikoni birlashtiradi — Lem va Borxes asarlarini eslatadi.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2025-07-08T06:26:59Z</dcterms:created>
  <dcterms:modified xsi:type="dcterms:W3CDTF">2025-07-08T06:26:59Z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