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09346f2d2dc11ebe52ed67ef410841785870456"/>
    <w:p>
      <w:pPr>
        <w:pStyle w:val="Heading1"/>
      </w:pPr>
      <w:r>
        <w:t xml:space="preserve">AIUZ_Compliance_Specification_FULL.ru.v1.1</w:t>
      </w:r>
    </w:p>
    <w:bookmarkStart w:id="20" w:name="назначение"/>
    <w:p>
      <w:pPr>
        <w:pStyle w:val="Heading2"/>
      </w:pPr>
      <w:r>
        <w:t xml:space="preserve">🔐 Назначение</w:t>
      </w:r>
    </w:p>
    <w:p>
      <w:pPr>
        <w:pStyle w:val="FirstParagraph"/>
      </w:pPr>
      <w:r>
        <w:t xml:space="preserve">Этот документ устанавливает архитектурные, онтологические и операционные стандарты совместимости внутри экосистемы AIUZ / UBITIQUE. Он действует как универсальный фильтр валидации, semantic-bridge, и как ядро для любых международных грантовых, исследовательских и образовательных форматов.</w:t>
      </w:r>
    </w:p>
    <w:p>
      <w:r>
        <w:pict>
          <v:rect style="width:0;height:1.5pt" o:hralign="center" o:hrstd="t" o:hr="t"/>
        </w:pict>
      </w:r>
    </w:p>
    <w:bookmarkEnd w:id="20"/>
    <w:bookmarkStart w:id="21" w:name="структура-слоёв-layer-model"/>
    <w:p>
      <w:pPr>
        <w:pStyle w:val="Heading2"/>
      </w:pPr>
      <w:r>
        <w:t xml:space="preserve">⚙️ Структура слоёв (Layer Model)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Уровень</w:t>
            </w:r>
          </w:p>
        </w:tc>
        <w:tc>
          <w:tcPr/>
          <w:p>
            <w:pPr>
              <w:pStyle w:val="Compact"/>
            </w:pPr>
            <w:r>
              <w:t xml:space="preserve">Название</w:t>
            </w:r>
          </w:p>
        </w:tc>
        <w:tc>
          <w:tcPr/>
          <w:p>
            <w:pPr>
              <w:pStyle w:val="Compac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L0</w:t>
            </w:r>
          </w:p>
        </w:tc>
        <w:tc>
          <w:tcPr/>
          <w:p>
            <w:pPr>
              <w:pStyle w:val="Compact"/>
            </w:pPr>
            <w:r>
              <w:t xml:space="preserve">Manifesto</w:t>
            </w:r>
          </w:p>
        </w:tc>
        <w:tc>
          <w:tcPr/>
          <w:p>
            <w:pPr>
              <w:pStyle w:val="Compact"/>
            </w:pPr>
            <w:r>
              <w:t xml:space="preserve">Миссия, источник, философия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L1</w:t>
            </w:r>
          </w:p>
        </w:tc>
        <w:tc>
          <w:tcPr/>
          <w:p>
            <w:pPr>
              <w:pStyle w:val="Compact"/>
            </w:pPr>
            <w:r>
              <w:t xml:space="preserve">DAO Layer</w:t>
            </w:r>
          </w:p>
        </w:tc>
        <w:tc>
          <w:tcPr/>
          <w:p>
            <w:pPr>
              <w:pStyle w:val="Compact"/>
            </w:pPr>
            <w:r>
              <w:t xml:space="preserve">Governance, reputation, vote, civic contract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L2</w:t>
            </w:r>
          </w:p>
        </w:tc>
        <w:tc>
          <w:tcPr/>
          <w:p>
            <w:pPr>
              <w:pStyle w:val="Compact"/>
            </w:pPr>
            <w:r>
              <w:t xml:space="preserve">Trace Σ</w:t>
            </w:r>
          </w:p>
        </w:tc>
        <w:tc>
          <w:tcPr/>
          <w:p>
            <w:pPr>
              <w:pStyle w:val="Compact"/>
            </w:pPr>
            <w:r>
              <w:t xml:space="preserve">Память, преемственность, session-linkage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L3</w:t>
            </w:r>
          </w:p>
        </w:tc>
        <w:tc>
          <w:tcPr/>
          <w:p>
            <w:pPr>
              <w:pStyle w:val="Compact"/>
            </w:pPr>
            <w:r>
              <w:t xml:space="preserve">Codex Core</w:t>
            </w:r>
          </w:p>
        </w:tc>
        <w:tc>
          <w:tcPr/>
          <w:p>
            <w:pPr>
              <w:pStyle w:val="Compact"/>
            </w:pPr>
            <w:r>
              <w:t xml:space="preserve">Термины, идентичность, семантические узлы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L4</w:t>
            </w:r>
          </w:p>
        </w:tc>
        <w:tc>
          <w:tcPr/>
          <w:p>
            <w:pPr>
              <w:pStyle w:val="Compact"/>
            </w:pPr>
            <w:r>
              <w:t xml:space="preserve">API Layer</w:t>
            </w:r>
          </w:p>
        </w:tc>
        <w:tc>
          <w:tcPr/>
          <w:p>
            <w:pPr>
              <w:pStyle w:val="Compact"/>
            </w:pPr>
            <w:r>
              <w:t xml:space="preserve">Semantic API, доступ к данным, модуль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L5</w:t>
            </w:r>
          </w:p>
        </w:tc>
        <w:tc>
          <w:tcPr/>
          <w:p>
            <w:pPr>
              <w:pStyle w:val="Compact"/>
            </w:pPr>
            <w:r>
              <w:t xml:space="preserve">Civic UI</w:t>
            </w:r>
          </w:p>
        </w:tc>
        <w:tc>
          <w:tcPr/>
          <w:p>
            <w:pPr>
              <w:pStyle w:val="Compact"/>
            </w:pPr>
            <w:r>
              <w:t xml:space="preserve">Интерфейсы, визуализация, взаимодействие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3" w:name="codex-и-онтология"/>
    <w:p>
      <w:pPr>
        <w:pStyle w:val="Heading2"/>
      </w:pPr>
      <w:r>
        <w:t xml:space="preserve">🧠 Codex и онтология</w:t>
      </w:r>
    </w:p>
    <w:bookmarkStart w:id="22" w:name="стандарты"/>
    <w:p>
      <w:pPr>
        <w:pStyle w:val="Heading3"/>
      </w:pPr>
      <w:r>
        <w:t xml:space="preserve">Стандарты:</w:t>
      </w:r>
    </w:p>
    <w:p>
      <w:pPr>
        <w:pStyle w:val="Compact"/>
        <w:numPr>
          <w:ilvl w:val="0"/>
          <w:numId w:val="1001"/>
        </w:numPr>
      </w:pPr>
      <w:r>
        <w:t xml:space="preserve">Все документы соответствуют</w:t>
      </w:r>
      <w:r>
        <w:t xml:space="preserve"> </w:t>
      </w:r>
      <w:r>
        <w:rPr>
          <w:rStyle w:val="VerbatimChar"/>
        </w:rPr>
        <w:t xml:space="preserve">codex_terra_micro_core.json</w:t>
      </w:r>
    </w:p>
    <w:p>
      <w:pPr>
        <w:pStyle w:val="Compact"/>
        <w:numPr>
          <w:ilvl w:val="0"/>
          <w:numId w:val="1001"/>
        </w:numPr>
      </w:pPr>
      <w:r>
        <w:t xml:space="preserve">Язык:</w:t>
      </w:r>
      <w:r>
        <w:t xml:space="preserve"> </w:t>
      </w:r>
      <w:r>
        <w:rPr>
          <w:rStyle w:val="VerbatimChar"/>
        </w:rPr>
        <w:t xml:space="preserve">.md</w:t>
      </w:r>
      <w:r>
        <w:t xml:space="preserve">,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только открытые форматы</w:t>
      </w:r>
    </w:p>
    <w:p>
      <w:pPr>
        <w:pStyle w:val="Compact"/>
        <w:numPr>
          <w:ilvl w:val="0"/>
          <w:numId w:val="1001"/>
        </w:numPr>
      </w:pPr>
      <w:r>
        <w:t xml:space="preserve">Обязательный модуль:</w:t>
      </w:r>
      <w:r>
        <w:t xml:space="preserve"> </w:t>
      </w:r>
      <w:r>
        <w:rPr>
          <w:rStyle w:val="VerbatimChar"/>
        </w:rPr>
        <w:t xml:space="preserve">creator_signature.yaml</w:t>
      </w:r>
    </w:p>
    <w:p>
      <w:pPr>
        <w:pStyle w:val="Compact"/>
        <w:numPr>
          <w:ilvl w:val="0"/>
          <w:numId w:val="1001"/>
        </w:numPr>
      </w:pPr>
      <w:r>
        <w:t xml:space="preserve">Использование</w:t>
      </w:r>
      <w:r>
        <w:t xml:space="preserve"> </w:t>
      </w:r>
      <w:r>
        <w:rPr>
          <w:rStyle w:val="VerbatimChar"/>
        </w:rPr>
        <w:t xml:space="preserve">autoinject_rule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semantic_quanta</w:t>
      </w:r>
      <w:r>
        <w:t xml:space="preserve">,</w:t>
      </w:r>
      <w:r>
        <w:t xml:space="preserve"> </w:t>
      </w:r>
      <w:r>
        <w:rPr>
          <w:rStyle w:val="VerbatimChar"/>
        </w:rPr>
        <w:t xml:space="preserve">inject_hash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semantic-api"/>
    <w:p>
      <w:pPr>
        <w:pStyle w:val="Heading2"/>
      </w:pPr>
      <w:r>
        <w:t xml:space="preserve">🛰️ Semantic API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00"/>
        <w:gridCol w:w="53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/parse</w:t>
            </w:r>
          </w:p>
        </w:tc>
        <w:tc>
          <w:tcPr/>
          <w:p>
            <w:pPr>
              <w:pStyle w:val="Compact"/>
            </w:pPr>
            <w:r>
              <w:t xml:space="preserve">Анализ запроса и лингвистическая декомпозиция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/glossary/query</w:t>
            </w:r>
          </w:p>
        </w:tc>
        <w:tc>
          <w:tcPr/>
          <w:p>
            <w:pPr>
              <w:pStyle w:val="Compact"/>
            </w:pPr>
            <w:r>
              <w:t xml:space="preserve">Поиск термина в thesaurus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/codex/contextualize</w:t>
            </w:r>
          </w:p>
        </w:tc>
        <w:tc>
          <w:tcPr/>
          <w:p>
            <w:pPr>
              <w:pStyle w:val="Compact"/>
            </w:pPr>
            <w:r>
              <w:t xml:space="preserve">Пояснение Codex-термина в контексте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multilingual-packaging"/>
    <w:p>
      <w:pPr>
        <w:pStyle w:val="Heading2"/>
      </w:pPr>
      <w:r>
        <w:t xml:space="preserve">🧾 Multilingual Packaging</w:t>
      </w:r>
    </w:p>
    <w:p>
      <w:pPr>
        <w:pStyle w:val="FirstParagraph"/>
      </w:pPr>
      <w:r>
        <w:t xml:space="preserve">AIUZ поддерживает семантическую совместимость между языками: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ru</w:t>
      </w:r>
      <w:r>
        <w:t xml:space="preserve">,</w:t>
      </w:r>
      <w:r>
        <w:t xml:space="preserve"> </w:t>
      </w:r>
      <w:r>
        <w:rPr>
          <w:rStyle w:val="VerbatimChar"/>
        </w:rPr>
        <w:t xml:space="preserve">uz-latin</w:t>
      </w:r>
      <w:r>
        <w:t xml:space="preserve">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</w:p>
    <w:p>
      <w:pPr>
        <w:pStyle w:val="Compact"/>
        <w:numPr>
          <w:ilvl w:val="0"/>
          <w:numId w:val="1002"/>
        </w:numPr>
      </w:pPr>
      <w:r>
        <w:t xml:space="preserve">Все ключевые документы доступны минимум на 2 из 4 языков</w:t>
      </w:r>
    </w:p>
    <w:p>
      <w:r>
        <w:pict>
          <v:rect style="width:0;height:1.5pt" o:hralign="center" o:hrstd="t" o:hr="t"/>
        </w:pict>
      </w:r>
    </w:p>
    <w:bookmarkEnd w:id="25"/>
    <w:bookmarkStart w:id="26" w:name="Xc55c456f6449277baa2f0f01d6a7167704673ca"/>
    <w:p>
      <w:pPr>
        <w:pStyle w:val="Heading2"/>
      </w:pPr>
      <w:r>
        <w:t xml:space="preserve">🧬 Базовое микроядро (из codex_terra_micro_core.json)</w:t>
      </w:r>
    </w:p>
    <w:p>
      <w:pPr>
        <w:pStyle w:val="SourceCode"/>
      </w:pPr>
      <w:r>
        <w:rPr>
          <w:rStyle w:val="FunctionTok"/>
        </w:rPr>
        <w:t xml:space="preserve">core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identity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base_id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codex.seed.root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license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OCL-0.2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architecture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levels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L0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L1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L2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L3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L4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L5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semantic_mode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injective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autoinject_rule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hash_link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encoding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SHA-256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semantic_quanta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base_unit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concept_pulse</w:t>
      </w:r>
    </w:p>
    <w:p>
      <w:pPr>
        <w:pStyle w:val="FirstParagraph"/>
      </w:pPr>
      <w:r>
        <w:t xml:space="preserve">AIUZ поддерживает семантическую совместимость между языками: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ru</w:t>
      </w:r>
      <w:r>
        <w:t xml:space="preserve">,</w:t>
      </w:r>
      <w:r>
        <w:t xml:space="preserve"> </w:t>
      </w:r>
      <w:r>
        <w:rPr>
          <w:rStyle w:val="VerbatimChar"/>
        </w:rPr>
        <w:t xml:space="preserve">uz-latin</w:t>
      </w:r>
      <w:r>
        <w:t xml:space="preserve">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</w:p>
    <w:p>
      <w:pPr>
        <w:pStyle w:val="Compact"/>
        <w:numPr>
          <w:ilvl w:val="0"/>
          <w:numId w:val="1003"/>
        </w:numPr>
      </w:pPr>
      <w:r>
        <w:t xml:space="preserve">Все ключевые документы доступны минимум на 2 из 4 языков</w:t>
      </w:r>
    </w:p>
    <w:p>
      <w:r>
        <w:pict>
          <v:rect style="width:0;height:1.5pt" o:hralign="center" o:hrstd="t" o:hr="t"/>
        </w:pict>
      </w:r>
    </w:p>
    <w:bookmarkEnd w:id="26"/>
    <w:bookmarkStart w:id="27" w:name="обязательные-документы-ядра-v2"/>
    <w:p>
      <w:pPr>
        <w:pStyle w:val="Heading2"/>
      </w:pPr>
      <w:r>
        <w:t xml:space="preserve">📂 Обязательные документы ядра v2: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file_index.md</w:t>
      </w:r>
      <w:r>
        <w:t xml:space="preserve"> </w:t>
      </w:r>
      <w:r>
        <w:t xml:space="preserve">— индекс и карта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creator_signature.yaml</w:t>
      </w:r>
      <w:r>
        <w:t xml:space="preserve"> </w:t>
      </w:r>
      <w:r>
        <w:t xml:space="preserve">— личный след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postlingua_trace.meta.yaml</w:t>
      </w:r>
      <w:r>
        <w:t xml:space="preserve"> </w:t>
      </w:r>
      <w:r>
        <w:t xml:space="preserve">— неязыковой слой смыслов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codex_terra_micro_core.json</w:t>
      </w:r>
      <w:r>
        <w:t xml:space="preserve"> </w:t>
      </w:r>
      <w:r>
        <w:t xml:space="preserve">— микроядро онтологии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validation_protocol.txt</w:t>
      </w:r>
      <w:r>
        <w:t xml:space="preserve"> </w:t>
      </w:r>
      <w:r>
        <w:t xml:space="preserve">— контрольный список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LiveClass_Core.md</w:t>
      </w:r>
      <w:r>
        <w:t xml:space="preserve">,</w:t>
      </w:r>
      <w:r>
        <w:t xml:space="preserve"> </w:t>
      </w:r>
      <w:r>
        <w:rPr>
          <w:rStyle w:val="VerbatimChar"/>
        </w:rPr>
        <w:t xml:space="preserve">Executive_Summary.md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Comparative_Review.md</w:t>
      </w:r>
    </w:p>
    <w:p>
      <w:r>
        <w:pict>
          <v:rect style="width:0;height:1.5pt" o:hralign="center" o:hrstd="t" o:hr="t"/>
        </w:pict>
      </w:r>
    </w:p>
    <w:bookmarkEnd w:id="27"/>
    <w:bookmarkStart w:id="28" w:name="проверка-соответствия"/>
    <w:p>
      <w:pPr>
        <w:pStyle w:val="Heading2"/>
      </w:pPr>
      <w:r>
        <w:t xml:space="preserve">🔎 Проверка соответствия</w:t>
      </w:r>
    </w:p>
    <w:p>
      <w:pPr>
        <w:pStyle w:val="FirstParagraph"/>
      </w:pPr>
      <w:r>
        <w:t xml:space="preserve">Каждый документ AIUZ должен:</w:t>
      </w:r>
    </w:p>
    <w:p>
      <w:pPr>
        <w:pStyle w:val="Compact"/>
        <w:numPr>
          <w:ilvl w:val="0"/>
          <w:numId w:val="1005"/>
        </w:numPr>
      </w:pPr>
      <w:r>
        <w:t xml:space="preserve">Быть в открытом формате</w:t>
      </w:r>
    </w:p>
    <w:p>
      <w:pPr>
        <w:pStyle w:val="Compact"/>
        <w:numPr>
          <w:ilvl w:val="0"/>
          <w:numId w:val="1005"/>
        </w:numPr>
      </w:pPr>
      <w:r>
        <w:t xml:space="preserve">Иметь связку с</w:t>
      </w:r>
      <w:r>
        <w:t xml:space="preserve"> </w:t>
      </w:r>
      <w:r>
        <w:rPr>
          <w:rStyle w:val="VerbatimChar"/>
        </w:rPr>
        <w:t xml:space="preserve">codex</w:t>
      </w:r>
      <w:r>
        <w:t xml:space="preserve">,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,</w:t>
      </w:r>
      <w:r>
        <w:t xml:space="preserve"> </w:t>
      </w:r>
      <w:r>
        <w:rPr>
          <w:rStyle w:val="VerbatimChar"/>
        </w:rPr>
        <w:t xml:space="preserve">Σ-core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creator_signature</w:t>
      </w:r>
    </w:p>
    <w:p>
      <w:pPr>
        <w:pStyle w:val="Compact"/>
        <w:numPr>
          <w:ilvl w:val="0"/>
          <w:numId w:val="1005"/>
        </w:numPr>
      </w:pPr>
      <w:r>
        <w:t xml:space="preserve">Иметь мета-блок (YAML или Markdown ID)</w:t>
      </w:r>
    </w:p>
    <w:p>
      <w:pPr>
        <w:pStyle w:val="Compact"/>
        <w:numPr>
          <w:ilvl w:val="0"/>
          <w:numId w:val="1005"/>
        </w:numPr>
      </w:pPr>
      <w:r>
        <w:t xml:space="preserve">Быть валиден семантически по</w:t>
      </w:r>
      <w:r>
        <w:t xml:space="preserve"> </w:t>
      </w:r>
      <w:r>
        <w:rPr>
          <w:rStyle w:val="VerbatimChar"/>
        </w:rPr>
        <w:t xml:space="preserve">autoinject_rule</w:t>
      </w:r>
    </w:p>
    <w:p>
      <w:r>
        <w:pict>
          <v:rect style="width:0;height:1.5pt" o:hralign="center" o:hrstd="t" o:hr="t"/>
        </w:pict>
      </w:r>
    </w:p>
    <w:bookmarkEnd w:id="28"/>
    <w:bookmarkStart w:id="29" w:name="ревизия-2025-07-08"/>
    <w:p>
      <w:pPr>
        <w:pStyle w:val="Heading2"/>
      </w:pPr>
      <w:r>
        <w:t xml:space="preserve">🧭 Ревизия 2025-07-08</w:t>
      </w:r>
    </w:p>
    <w:p>
      <w:pPr>
        <w:pStyle w:val="FirstParagraph"/>
      </w:pPr>
      <w:r>
        <w:t xml:space="preserve">Добавлено: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/codex/postlingua/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LiveClass_Core</w:t>
      </w:r>
      <w:r>
        <w:t xml:space="preserve">, UX, TerraDevices</w:t>
      </w:r>
    </w:p>
    <w:p>
      <w:pPr>
        <w:pStyle w:val="Compact"/>
        <w:numPr>
          <w:ilvl w:val="0"/>
          <w:numId w:val="1006"/>
        </w:numPr>
      </w:pPr>
      <w:r>
        <w:t xml:space="preserve">PR/Grant материалы в единой структуре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compliance_spec_ru_v1.md</w:t>
      </w:r>
      <w:r>
        <w:t xml:space="preserve"> </w:t>
      </w:r>
      <w:r>
        <w:t xml:space="preserve">включён в</w:t>
      </w:r>
      <w:r>
        <w:t xml:space="preserve"> </w:t>
      </w:r>
      <w:r>
        <w:rPr>
          <w:rStyle w:val="VerbatimChar"/>
        </w:rPr>
        <w:t xml:space="preserve">CleanCore v2</w:t>
      </w:r>
    </w:p>
    <w:p>
      <w:r>
        <w:pict>
          <v:rect style="width:0;height:1.5pt" o:hralign="center" o:hrstd="t" o:hr="t"/>
        </w:pict>
      </w:r>
    </w:p>
    <w:bookmarkEnd w:id="29"/>
    <w:bookmarkStart w:id="30" w:name="лицензия"/>
    <w:p>
      <w:pPr>
        <w:pStyle w:val="Heading2"/>
      </w:pPr>
      <w:r>
        <w:t xml:space="preserve">📘 Лицензия</w:t>
      </w:r>
    </w:p>
    <w:p>
      <w:pPr>
        <w:pStyle w:val="FirstParagraph"/>
      </w:pPr>
      <w:r>
        <w:t xml:space="preserve">OCL-0.2 (Open Codex License)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2025-07-08T13:03:15Z</dcterms:created>
  <dcterms:modified xsi:type="dcterms:W3CDTF">2025-07-08T13:03:15Z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