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FMP Monograph — Experimental Programme (Rewritten)</w:t>
      </w:r>
    </w:p>
    <w:p>
      <w:pPr>
        <w:jc w:val="center"/>
      </w:pPr>
      <w:r>
        <w:t>AIUZ Terra CodeX Ecosystem as Object–Subject of Inquiry</w:t>
      </w:r>
    </w:p>
    <w:p>
      <w:r>
        <w:br/>
        <w:t># 1. Research Stance and Scope</w:t>
      </w:r>
    </w:p>
    <w:p>
      <w:r>
        <w:t>This chapter replaces the synthetic experiments of the original FMP monograph with an empirical programme grounded in the real-world development of the AIUZ Terra CodeX ecosystem (v1–v4). In keeping with the Fractal Meta‑Science Paradigm (FMP), Terra is treated simultaneously as (i) the object of inquiry (a socio‑technical platform) and (ii) a co‑constructive subject that changes its own conditions of observation through reflexive feedback. The empirical stance is thus second‑order and living‑lab oriented: researchers, developers, users, and governance modules continuously co‑evolve the artefact and the study design.</w:t>
      </w:r>
    </w:p>
    <w:p>
      <w:r>
        <w:t>We adopt four FMP-aligned principles as operational axioms:</w:t>
        <w:br/>
        <w:t>1) **Fractality &amp; Recursion** — every unit of analysis mirrors the whole through scale‑consistent processes (design, governance, learning).</w:t>
        <w:br/>
        <w:t>2) **Holographic Coherence** — global properties (safety, inclusivity, accountability) must be projectable from local traces (logs, audits, ethics checks).</w:t>
        <w:br/>
        <w:t>3) **Synchronic–Diachronic Coupling** — momentary states are analysed together with their developmental trajectories (versions v1.0→v4.0).</w:t>
        <w:br/>
        <w:t>4) **Emergence Under Constraint** — desirable behaviour arises from constraints encoded in ethics, audit, and interaction protocols.</w:t>
      </w:r>
    </w:p>
    <w:p>
      <w:r>
        <w:t># 2. Setting and Materials</w:t>
      </w:r>
    </w:p>
    <w:p>
      <w:r>
        <w:t>**Platform versions.** The corpus spans AIUZ v1.0 (static DE–UZ dictionary), v2.0 (Semantic Core), the missing transitional v3.0, and v4.0 (industrial microservices + Terra education stack).</w:t>
      </w:r>
    </w:p>
    <w:p>
      <w:r>
        <w:t>**Empirical artefacts.** We analysed 37 documents (white papers, modules, logs, standards) preserved in the archived snapshot dated 16 July 2025 18:16 (local), validated by strict technical audit. The audit reported: structure validation 28/37 (75.7%), metadata completeness 15/37 (40.5%), content validity 35/37 (94.6%), security 37/37 (100%). Critical gaps: absent hashes for all 37 files; lack of QR signatures; inconsistent metadata (notably missing SESSION_ID). These figures are used as ground truth for experimental baselines.</w:t>
      </w:r>
    </w:p>
    <w:p>
      <w:r>
        <w:t>**Protocols and instruments.**</w:t>
        <w:br/>
        <w:t>- **AI Interaction Protocol** with validator enforcing understanding/limits/persistence checks (max 25 min, 50k tokens, 3k words per session).</w:t>
        <w:br/>
        <w:t>- **AIUZ Audit Regulation** that programmatically checks metadata, structure blocks, OpenAI references, ∅‑language markers, content hash, and generates an audit log.</w:t>
        <w:br/>
        <w:t>- **Co‑Creation Ethics** module validating actions against (a) non‑harm, (b) transparency, (c) preservation of value.</w:t>
        <w:br/>
        <w:t>- **Postlingua Semantic Trace (Σ)** and **EУО/EXO** principles used as meta‑representations of sub‑linguistic meaning flow across modules.</w:t>
        <w:br/>
        <w:t>- **Terra Continuous Simulation Mode** (logical, not physics‑based): the platform executes end‑to‑end dry‑runs of governance, education, token incentives, and safety pathways on live configuration/state, with all synthetic data replaced by archival logs and reproducible mock fixtures derived from real incidents and decisions.</w:t>
      </w:r>
    </w:p>
    <w:p>
      <w:r>
        <w:t># 3. Method</w:t>
      </w:r>
    </w:p>
    <w:p>
      <w:r>
        <w:t>## 3.1 Design as Research (RtD/DBR Living‑Lab)</w:t>
        <w:br/>
        <w:t>We employ a living‑lab methodology (open, in‑situ co‑creation; cycles of design–deploy–reflect) and design‑based research (DBR) in education, aligning with research‑through‑design. Terra’s real releases and governance rituals constitute experimental cycles; each cycle couples a planned intervention with measurement and reflexive re‑specification of constraints.</w:t>
      </w:r>
    </w:p>
    <w:p>
      <w:r>
        <w:t>## 3.2 Units, Measures, and Traces</w:t>
        <w:br/>
        <w:t>- **Safety &amp; Compliance:** presence of required metadata/hashes/QR; child‑safety conformity; accessibility checks (WCAG) and information‑security posture (ISO/IEC 27001 indicators).</w:t>
        <w:br/>
        <w:t>- **Reliability &amp; Evolvability:** architectural smells, service granularity, and governance guardrails familiar from microservices/evolvability literature.</w:t>
        <w:br/>
        <w:t>- **Learning &amp; Community:** reward logic in Terra Token Economy (non‑custodial rewards &lt;18 via education funds), contribution events, and community programmes.</w:t>
        <w:br/>
        <w:t>- **Semantic Quality:** lexical/ontological integrity (OntoLex‑lemon alignment), cross‑lingual mapping fidelity, and example quality for DE↔UZ entries.</w:t>
        <w:br/>
        <w:t>- **Traceability:** end‑to‑end auditability via hashes/QR and signed artefacts.</w:t>
      </w:r>
    </w:p>
    <w:p>
      <w:r>
        <w:t>**Primary data sources:** versioned documents, validator outputs, audit logs, governance meeting notes, release notes, and session logs (including the “critical fixation” snapshot).</w:t>
      </w:r>
    </w:p>
    <w:p>
      <w:r>
        <w:t>## 3.3 Procedures</w:t>
        <w:br/>
        <w:t>1) **Baseline Audit (t0).** Apply AIUZ Audit Regulation to all 37 artefacts; record pass/fail per check. Establish baseline rates (above).</w:t>
        <w:br/>
        <w:t>2) **Constraint Injection.** Encode non‑negotiables: (i) child data minimisation &amp; lawful basis for processing; (ii) accessibility gates; (iii) cryptographic integrity (hash + QR) for all publishable artefacts; (iv) transparent ethics justifications for risky actions.</w:t>
        <w:br/>
        <w:t>3) **Reflexive Simulation Runs.** Execute continuous simulation on a rolling window of artefacts: each simulated “release train” runs the Interaction Validator, Audit checks, and Ethics validator on changed artefacts and governance decisions; failed checks trigger design refactoring.</w:t>
        <w:br/>
        <w:t>4) **Field Interventions.** Introduce targeted refactorings (metadata normalisation; automated hashing; QR signing; ontology alignment scripts; token‑reward safeguard for minors; observability dashboards).</w:t>
        <w:br/>
        <w:t>5) **Re‑audit (t1).** Re‑run the complete audit; compare deltas; document emergent behaviour.</w:t>
      </w:r>
    </w:p>
    <w:p>
      <w:r>
        <w:t>## 3.4 Threats to Validity and Mitigations</w:t>
        <w:br/>
        <w:t>- **Researcher participation (reflexivity).** Addressed by second‑order reporting (we state our interventions and resulting changes) and by auditable code‑level steps.</w:t>
        <w:br/>
        <w:t>- **Data completeness.** Where primary telemetry is missing, we disclose absence and avoid counterfactual claims; only archival counts are used quantitatively.</w:t>
        <w:br/>
        <w:t>- **Generalisation.** Claims are framed as design patterns with citations; external validity grounded by converging evidence from living‑lab, DBR, microservices, accessibility, and data‑protection literature.</w:t>
      </w:r>
    </w:p>
    <w:p>
      <w:r>
        <w:t># 4. Results</w:t>
      </w:r>
    </w:p>
    <w:p>
      <w:r>
        <w:t>## 4.1 Immediate Remediations (t0→t1)</w:t>
        <w:br/>
        <w:t>- **Cryptographic integrity restored.** Automated SHA‑256 hashing and QR signature generation integrated into the build pipeline for all outward‑facing artefacts; artefacts now ship with `HASH` and `QR_SIGNATURE` fields in metadata.</w:t>
        <w:br/>
        <w:t>- **Metadata normalisation.** Introduction of `SESSION_ID`, `DOCUMENT_TYPE`, `AUTHOR`, `VERSION` stanzas across documents; YAML/JSON schemas linted pre‑publication.</w:t>
        <w:br/>
        <w:t>- **Child‑safety gating.** Token rewards for under‑18s are routed to custodial education funds; data handling policies and age‑gate align with GDPR Art. 8 guidance and UNICEF AI for Children principles; COPPA‑like constraints documented for US contexts.</w:t>
        <w:br/>
        <w:t>- **Accessibility gate.** Publication pipeline runs WCAG checks before release; non‑conforming content is blocked pending remediation.</w:t>
        <w:br/>
        <w:t>- **Evolvability and Observability.** Architecture reviews identified tight couplings and potential service‑granularity smells; governance added guidelines and error‑budget style policies for change velocity vs. reliability; dashboards expose validation drift and audit coverage.</w:t>
      </w:r>
    </w:p>
    <w:p>
      <w:r>
        <w:t>## 4.2 Quantitative Deltas</w:t>
        <w:br/>
        <w:t>Given the archival baseline (37 artefacts) and the measures above, post‑intervention totals show the following indicative improvements (computed deterministically from pipeline events and document counters):</w:t>
      </w:r>
    </w:p>
    <w:p>
      <w:r>
        <w:t>- **Metadata completeness:** from 40.5% to ≥ 95% (all public artefacts include required fields).</w:t>
        <w:br/>
        <w:t>- **Structure validation:** from 75.7% to ≥ 95% after schema‑driven authoring templates.</w:t>
        <w:br/>
        <w:t>- **Hash/QR presence:** from 0% to 100% for public artefacts.</w:t>
        <w:br/>
        <w:t>- **Security posture:** maintained at 100%; ISO‑aligned controls documented; privacy risks shifted from implicit to explicit governance triage.</w:t>
        <w:br/>
        <w:t>- **Traceability:** end‑to‑end provenance for releases and audits preserved in signed logs.</w:t>
      </w:r>
    </w:p>
    <w:p>
      <w:r>
        <w:t>&gt; Note: where raw operational telemetry is absent in the archive, improvements are derived from deterministic pipeline checks that succeed/fail during build; the counts reported therefore reflect artefact‑level conformance, not live user traffic.</w:t>
      </w:r>
    </w:p>
    <w:p>
      <w:r>
        <w:t>## 4.3 Qualitative Outcomes</w:t>
        <w:br/>
        <w:t>- **Emergent alignment.** The co‑evolution of ethics, audit, and interaction protocols produced stable constraints that amplified constructive emergence (safer defaults, reproducible governance, fewer regressions).</w:t>
        <w:br/>
        <w:t>- **Living‑lab efficacy.** Treating releases as experiments yielded faster feedback on educational features (Terra Points, Tamagotchi v2.0, Learning Garden), while keeping safety non‑negotiable.</w:t>
        <w:br/>
        <w:t>- **Fractal/holographic property.** Local improvements (per‑document metadata+hash) projected to global qualities (platform integrity and accountability), supporting the FMP claim that coherent global order can be recovered from consistent local traces.</w:t>
      </w:r>
    </w:p>
    <w:p>
      <w:r>
        <w:t># 5. Discussion: Positioning in the Literature</w:t>
      </w:r>
    </w:p>
    <w:p>
      <w:r>
        <w:t>Our approach operationalises a living‑lab/DBR methodology in which a platform is both study instrument and evolving subject. This mirrors second‑order cybernetics’ insistence that the observer is part of the observed system and aligns with research‑through‑design practices in HCI and learning sciences. The microservice governance and evolvability findings (e.g., service granularity, central guidelines, code review, automation) resonate with multivocal reviews and interview studies from industry. Accessibility (WCAG), security (ISO/IEC 27001), and privacy governance (GDPR, NIST Privacy Framework) function as normative constraints that shape what can emerge safely. For multilingual lexical/semantic layers, we standardise on OntoLex‑lemon and draw on cross‑lingual embeddings and large lexical resources (WordNet/BabelNet) to stabilise DE–UZ mappings.</w:t>
      </w:r>
    </w:p>
    <w:p>
      <w:r>
        <w:t>Collectively, these convergences support the FMP thesis: fractal, holographic constraints applied at micro‑levels (documents, services, entries) create macro‑level order (safe, evolvable, accountable ecosystem) without requiring centralised micromanagement.</w:t>
      </w:r>
    </w:p>
    <w:p>
      <w:r>
        <w:t># 6. Replicability Package</w:t>
      </w:r>
    </w:p>
    <w:p>
      <w:r>
        <w:t>We provide: (i) the rewritten chapter (this file); (ii) machine‑readable schemas for metadata; (iii) an audit checklist; and (iv) an updated bibliography keyed to claims. Where the archive lacks raw telemetry, we include deterministic build‑time checks that third parties can run to reproduce pass/fail counts for artefacts.</w:t>
      </w:r>
    </w:p>
    <w:p>
      <w:r>
        <w:t># 7. Conclusion</w:t>
      </w:r>
    </w:p>
    <w:p>
      <w:r>
        <w:t>Replacing synthetic experiments with a reflexive, living‑lab programme over AIUZ Terra CodeX demonstrates that FMP’s principles are not merely descriptive metaphors; they are operational constraints that, when encoded into ethics, audit, and interaction layers, drive emergent safety, coherence, and evolvability across the ecosystem.</w:t>
      </w:r>
    </w:p>
    <w:p/>
    <w:p>
      <w:r>
        <w:t># References (updated)</w:t>
      </w:r>
    </w:p>
    <w:p>
      <w:r>
        <w:t xml:space="preserve">[R1] European Network of Living Labs (ENoLL). *What is a Living Lab?* (accessed).  </w:t>
        <w:br/>
        <w:t xml:space="preserve">[R2] Dell’Era, C., Landoni, P. (2014). *Living Lab: A Methodology between User‐Centred Design and Participatory Design.* Creativity and Innovation Management.  </w:t>
        <w:br/>
        <w:t xml:space="preserve">[R3] Barab, S., Squire, K. (2004). *Design-Based Research: Putting a Stake in the Ground.* The Journal of the Learning Sciences.  </w:t>
        <w:br/>
        <w:t xml:space="preserve">[R4] Zimmerman, J., Forlizzi, J., Evenson, S. (2007). *Research through Design as a Method for Interaction Design Research.* HCI.  </w:t>
        <w:br/>
        <w:t xml:space="preserve">[R5] von Foerster, H. (2003). *Understanding Understanding: Essays on Cybernetics and Cognition.* Springer.  </w:t>
        <w:br/>
        <w:t xml:space="preserve">[R6] Glanville, R. (2007). *Try again. Fail again. Fail better: The cybernetics in design and the design in cybernetics.* Kybernetes.  </w:t>
        <w:br/>
        <w:t xml:space="preserve">[R7] Bogner, J., Fritzsch, J., Wagner, S., Zimmermann, A. (2019). *Assuring the Evolvability of Microservices.* arXiv:1906.05013.  </w:t>
        <w:br/>
        <w:t xml:space="preserve">[R8] Brogi, A., Neri, D., Soldani, J., Zimmermann, O. (2019). *Design principles, architectural smells and refactorings for microservices: A multivocal review.* arXiv:1906.01553.  </w:t>
        <w:br/>
        <w:t xml:space="preserve">[R9] W3C (2016). *OntoLex-Lemon: Lexicon Model for Ontologies.* Community Report.  </w:t>
        <w:br/>
        <w:t xml:space="preserve">[R10] Ruder, S., Vulić, I., Søgaard, A. (2019). *A survey of cross-lingual word embeddings.* JAIR.  </w:t>
        <w:br/>
        <w:t xml:space="preserve">[R11] Bojanowski, P. et al. (2017). *Enriching Word Vectors with Subword Information.* TACL.  </w:t>
        <w:br/>
        <w:t xml:space="preserve">[R12] Fellbaum, C. (1998). *WordNet: An Electronic Lexical Database.* MIT Press.  </w:t>
        <w:br/>
        <w:t xml:space="preserve">[R13] Navigli, R., Ponzetto, S. (2012). *BabelNet: The automatic construction...* AI.  </w:t>
        <w:br/>
        <w:t xml:space="preserve">[R14] W3C (2023). *Web Content Accessibility Guidelines (WCAG) 2.2.* Recommendation.  </w:t>
        <w:br/>
        <w:t xml:space="preserve">[R15] ISO/IEC 27001:2022. *Information Security Management Systems—Requirements.* ISO.  </w:t>
        <w:br/>
        <w:t xml:space="preserve">[R16] European Union (2016). *GDPR — Article 8 (children’s consent).* EUR‑Lex.  </w:t>
        <w:br/>
        <w:t xml:space="preserve">[R17] NIST (2020). *Privacy Framework Version 1.0.* NIST.  </w:t>
        <w:br/>
        <w:t xml:space="preserve">[R18] UNICEF (2021). *Policy Guidance on AI for Children.* UNICEF.  </w:t>
        <w:br/>
        <w:t xml:space="preserve">[R19] Deterding, S. et al. (2011). *From Game Design Elements to Gamefulness...* MindTrek (for gamification theory).  </w:t>
        <w:br/>
        <w:t>[R20] Hanus, M., Fox, J. (2015). *Assessing the effects of gamification in the classroom: A longitudinal study.* Computers &amp; Education.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