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identity_layer.md"/>
    <w:p>
      <w:pPr>
        <w:pStyle w:val="Heading1"/>
      </w:pPr>
      <w:r>
        <w:t xml:space="preserve">identity_layer.md</w:t>
      </w:r>
    </w:p>
    <w:p>
      <w:r>
        <w:pict>
          <v:rect style="width:0;height:1.5pt" o:hralign="center" o:hrstd="t" o:hr="t"/>
        </w:pict>
      </w:r>
    </w:p>
    <w:bookmarkStart w:id="20" w:name="назначение"/>
    <w:p>
      <w:pPr>
        <w:pStyle w:val="Heading2"/>
      </w:pPr>
      <w:r>
        <w:t xml:space="preserve">📘 Назначение</w:t>
      </w:r>
    </w:p>
    <w:p>
      <w:pPr>
        <w:pStyle w:val="FirstParagraph"/>
      </w:pPr>
      <w:r>
        <w:t xml:space="preserve">Документ описывает идентификационную архитектуру участников системы AIUZ/UBITIQUE. Входит в уровень L3, поддерживает DAO, семантическую устойчивость и защиту от анонимных атак.</w:t>
      </w:r>
    </w:p>
    <w:p>
      <w:r>
        <w:pict>
          <v:rect style="width:0;height:1.5pt" o:hralign="center" o:hrstd="t" o:hr="t"/>
        </w:pict>
      </w:r>
    </w:p>
    <w:bookmarkEnd w:id="20"/>
    <w:bookmarkStart w:id="21" w:name="подход-к-идентификации"/>
    <w:p>
      <w:pPr>
        <w:pStyle w:val="Heading2"/>
      </w:pPr>
      <w:r>
        <w:t xml:space="preserve">🧾 Подход к идентификации</w:t>
      </w:r>
    </w:p>
    <w:p>
      <w:pPr>
        <w:pStyle w:val="Compact"/>
        <w:numPr>
          <w:ilvl w:val="0"/>
          <w:numId w:val="1001"/>
        </w:numPr>
      </w:pPr>
      <w:r>
        <w:t xml:space="preserve">Используется модель</w:t>
      </w:r>
      <w:r>
        <w:t xml:space="preserve"> </w:t>
      </w:r>
      <w:r>
        <w:rPr>
          <w:b/>
          <w:bCs/>
        </w:rPr>
        <w:t xml:space="preserve">SSI (Self-Sovereign Identity)</w:t>
      </w:r>
    </w:p>
    <w:p>
      <w:pPr>
        <w:pStyle w:val="Compact"/>
        <w:numPr>
          <w:ilvl w:val="0"/>
          <w:numId w:val="1001"/>
        </w:numPr>
      </w:pPr>
      <w:r>
        <w:t xml:space="preserve">Все участники управляют своими ID через криптографические ключи</w:t>
      </w:r>
    </w:p>
    <w:p>
      <w:pPr>
        <w:pStyle w:val="Compact"/>
        <w:numPr>
          <w:ilvl w:val="0"/>
          <w:numId w:val="1001"/>
        </w:numPr>
      </w:pPr>
      <w:r>
        <w:t xml:space="preserve">Данные размещаются вне блокчейна — ссылки или хеши (privacy-by-design)</w:t>
      </w:r>
    </w:p>
    <w:p>
      <w:r>
        <w:pict>
          <v:rect style="width:0;height:1.5pt" o:hralign="center" o:hrstd="t" o:hr="t"/>
        </w:pict>
      </w:r>
    </w:p>
    <w:bookmarkEnd w:id="21"/>
    <w:bookmarkStart w:id="22" w:name="формат-идентификатора"/>
    <w:p>
      <w:pPr>
        <w:pStyle w:val="Heading2"/>
      </w:pPr>
      <w:r>
        <w:t xml:space="preserve">📛 Формат идентификатора</w:t>
      </w:r>
    </w:p>
    <w:p>
      <w:pPr>
        <w:pStyle w:val="Compact"/>
        <w:numPr>
          <w:ilvl w:val="0"/>
          <w:numId w:val="1002"/>
        </w:numPr>
      </w:pPr>
      <w:r>
        <w:t xml:space="preserve">Стандарт:</w:t>
      </w:r>
      <w:r>
        <w:t xml:space="preserve"> </w:t>
      </w:r>
      <w:r>
        <w:rPr>
          <w:rStyle w:val="VerbatimChar"/>
        </w:rPr>
        <w:t xml:space="preserve">did:web</w:t>
      </w:r>
      <w:r>
        <w:t xml:space="preserve">,</w:t>
      </w:r>
      <w:r>
        <w:t xml:space="preserve"> </w:t>
      </w:r>
      <w:r>
        <w:rPr>
          <w:rStyle w:val="VerbatimChar"/>
        </w:rPr>
        <w:t xml:space="preserve">did:key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did:aiuz</w:t>
      </w:r>
    </w:p>
    <w:p>
      <w:pPr>
        <w:pStyle w:val="Compact"/>
        <w:numPr>
          <w:ilvl w:val="0"/>
          <w:numId w:val="1002"/>
        </w:numPr>
      </w:pPr>
      <w:r>
        <w:t xml:space="preserve">Пример:</w:t>
      </w:r>
      <w:r>
        <w:t xml:space="preserve"> </w:t>
      </w:r>
      <w:r>
        <w:rPr>
          <w:rStyle w:val="VerbatimChar"/>
        </w:rPr>
        <w:t xml:space="preserve">did:aiuz:stakeholder:0x8a3f...</w:t>
      </w:r>
    </w:p>
    <w:p>
      <w:pPr>
        <w:pStyle w:val="Compact"/>
        <w:numPr>
          <w:ilvl w:val="0"/>
          <w:numId w:val="1002"/>
        </w:numPr>
      </w:pPr>
      <w:r>
        <w:t xml:space="preserve">Каждая роль в DAO (user/operator/auditor) имеет свой DID</w:t>
      </w:r>
    </w:p>
    <w:p>
      <w:r>
        <w:pict>
          <v:rect style="width:0;height:1.5pt" o:hralign="center" o:hrstd="t" o:hr="t"/>
        </w:pict>
      </w:r>
    </w:p>
    <w:bookmarkEnd w:id="22"/>
    <w:bookmarkStart w:id="23" w:name="аутентификация-и-авторизация"/>
    <w:p>
      <w:pPr>
        <w:pStyle w:val="Heading2"/>
      </w:pPr>
      <w:r>
        <w:t xml:space="preserve">🔐 Аутентификация и авторизация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00"/>
        <w:gridCol w:w="4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Механизм</w:t>
            </w:r>
          </w:p>
        </w:tc>
        <w:tc>
          <w:tcPr/>
          <w:p>
            <w:pPr>
              <w:pStyle w:val="Compact"/>
            </w:pPr>
            <w:r>
              <w:t xml:space="preserve">Назначение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Cryptographic Signature</w:t>
            </w:r>
          </w:p>
        </w:tc>
        <w:tc>
          <w:tcPr/>
          <w:p>
            <w:pPr>
              <w:pStyle w:val="Compact"/>
            </w:pPr>
            <w:r>
              <w:t xml:space="preserve">Подтверждение участия в голосовании, внесении изменений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Token-Gated Access</w:t>
            </w:r>
          </w:p>
        </w:tc>
        <w:tc>
          <w:tcPr/>
          <w:p>
            <w:pPr>
              <w:pStyle w:val="Compact"/>
            </w:pPr>
            <w:r>
              <w:t xml:space="preserve">Определение прав на доступ к API / ресурсам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Audit Log</w:t>
            </w:r>
          </w:p>
        </w:tc>
        <w:tc>
          <w:tcPr/>
          <w:p>
            <w:pPr>
              <w:pStyle w:val="Compact"/>
            </w:pPr>
            <w:r>
              <w:t xml:space="preserve">Привязка действий к DID с проверкой времени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4" w:name="связь-с-dao-и-stake-registry"/>
    <w:p>
      <w:pPr>
        <w:pStyle w:val="Heading2"/>
      </w:pPr>
      <w:r>
        <w:t xml:space="preserve">🧩 Связь с DAO и Stake Registry</w:t>
      </w:r>
    </w:p>
    <w:p>
      <w:pPr>
        <w:pStyle w:val="Compact"/>
        <w:numPr>
          <w:ilvl w:val="0"/>
          <w:numId w:val="1003"/>
        </w:numPr>
      </w:pPr>
      <w:r>
        <w:t xml:space="preserve">Каждое DID отображается в</w:t>
      </w:r>
      <w:r>
        <w:t xml:space="preserve"> </w:t>
      </w:r>
      <w:r>
        <w:rPr>
          <w:rStyle w:val="VerbatimChar"/>
        </w:rPr>
        <w:t xml:space="preserve">stake_registry.json</w:t>
      </w:r>
    </w:p>
    <w:p>
      <w:pPr>
        <w:pStyle w:val="Compact"/>
        <w:numPr>
          <w:ilvl w:val="0"/>
          <w:numId w:val="1003"/>
        </w:numPr>
      </w:pPr>
      <w:r>
        <w:t xml:space="preserve">Включает:</w:t>
      </w:r>
    </w:p>
    <w:p>
      <w:pPr>
        <w:pStyle w:val="Compact"/>
        <w:numPr>
          <w:ilvl w:val="1"/>
          <w:numId w:val="1004"/>
        </w:numPr>
      </w:pPr>
      <w:r>
        <w:t xml:space="preserve">роль,</w:t>
      </w:r>
    </w:p>
    <w:p>
      <w:pPr>
        <w:pStyle w:val="Compact"/>
        <w:numPr>
          <w:ilvl w:val="1"/>
          <w:numId w:val="1004"/>
        </w:numPr>
      </w:pPr>
      <w:r>
        <w:t xml:space="preserve">stake баланс (UTIL, GOV, REP),</w:t>
      </w:r>
    </w:p>
    <w:p>
      <w:pPr>
        <w:pStyle w:val="Compact"/>
        <w:numPr>
          <w:ilvl w:val="1"/>
          <w:numId w:val="1004"/>
        </w:numPr>
      </w:pPr>
      <w:r>
        <w:t xml:space="preserve">список публичных действий,</w:t>
      </w:r>
    </w:p>
    <w:p>
      <w:pPr>
        <w:pStyle w:val="Compact"/>
        <w:numPr>
          <w:ilvl w:val="1"/>
          <w:numId w:val="1004"/>
        </w:numPr>
      </w:pPr>
      <w:r>
        <w:t xml:space="preserve">репутационный индекс</w:t>
      </w:r>
    </w:p>
    <w:p>
      <w:r>
        <w:pict>
          <v:rect style="width:0;height:1.5pt" o:hralign="center" o:hrstd="t" o:hr="t"/>
        </w:pict>
      </w:r>
    </w:p>
    <w:bookmarkEnd w:id="24"/>
    <w:bookmarkStart w:id="25" w:name="верификация-участников"/>
    <w:p>
      <w:pPr>
        <w:pStyle w:val="Heading2"/>
      </w:pPr>
      <w:r>
        <w:t xml:space="preserve">🛠️ Верификация участников</w:t>
      </w:r>
    </w:p>
    <w:p>
      <w:pPr>
        <w:pStyle w:val="Compact"/>
        <w:numPr>
          <w:ilvl w:val="0"/>
          <w:numId w:val="1005"/>
        </w:numPr>
      </w:pPr>
      <w:r>
        <w:t xml:space="preserve">Автоматическая: по stake + токенам + DID-чек</w:t>
      </w:r>
    </w:p>
    <w:p>
      <w:pPr>
        <w:pStyle w:val="Compact"/>
        <w:numPr>
          <w:ilvl w:val="0"/>
          <w:numId w:val="1005"/>
        </w:numPr>
      </w:pPr>
      <w:r>
        <w:t xml:space="preserve">Ручная: через аудитора или мультиголосование</w:t>
      </w:r>
    </w:p>
    <w:p>
      <w:pPr>
        <w:pStyle w:val="Compact"/>
        <w:numPr>
          <w:ilvl w:val="0"/>
          <w:numId w:val="1005"/>
        </w:numPr>
      </w:pPr>
      <w:r>
        <w:t xml:space="preserve">Метка</w:t>
      </w:r>
      <w:r>
        <w:t xml:space="preserve"> </w:t>
      </w:r>
      <w:r>
        <w:t xml:space="preserve">“verified”</w:t>
      </w:r>
      <w:r>
        <w:t xml:space="preserve"> </w:t>
      </w:r>
      <w:r>
        <w:t xml:space="preserve">даёт право на предложение/вето</w:t>
      </w:r>
    </w:p>
    <w:p>
      <w:r>
        <w:pict>
          <v:rect style="width:0;height:1.5pt" o:hralign="center" o:hrstd="t" o:hr="t"/>
        </w:pict>
      </w:r>
    </w:p>
    <w:bookmarkEnd w:id="25"/>
    <w:bookmarkStart w:id="26" w:name="связь-с-другими-слоями"/>
    <w:p>
      <w:pPr>
        <w:pStyle w:val="Heading2"/>
      </w:pPr>
      <w:r>
        <w:t xml:space="preserve">📎 Связь с другими слоями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Слой</w:t>
            </w:r>
          </w:p>
        </w:tc>
        <w:tc>
          <w:tcPr/>
          <w:p>
            <w:pPr>
              <w:pStyle w:val="Compact"/>
            </w:pPr>
            <w:r>
              <w:t xml:space="preserve">Элемент</w:t>
            </w:r>
          </w:p>
        </w:tc>
      </w:tr>
      <w:tr>
        <w:tc>
          <w:tcPr/>
          <w:p>
            <w:pPr>
              <w:pStyle w:val="Compact"/>
            </w:pPr>
            <w:r>
              <w:t xml:space="preserve">L0</w:t>
            </w:r>
          </w:p>
        </w:tc>
        <w:tc>
          <w:tcPr/>
          <w:p>
            <w:pPr>
              <w:pStyle w:val="Compact"/>
            </w:pPr>
            <w:r>
              <w:t xml:space="preserve">Trace, Stakeholder (как агент)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L1</w:t>
            </w:r>
          </w:p>
        </w:tc>
        <w:tc>
          <w:tcPr/>
          <w:p>
            <w:pPr>
              <w:pStyle w:val="Compact"/>
            </w:pPr>
            <w:r>
              <w:t xml:space="preserve">Протоколы валидации данных</w:t>
            </w:r>
          </w:p>
        </w:tc>
      </w:tr>
      <w:tr>
        <w:tc>
          <w:tcPr/>
          <w:p>
            <w:pPr>
              <w:pStyle w:val="Compact"/>
            </w:pPr>
            <w:r>
              <w:t xml:space="preserve">L3</w:t>
            </w:r>
          </w:p>
        </w:tc>
        <w:tc>
          <w:tcPr/>
          <w:p>
            <w:pPr>
              <w:pStyle w:val="Compact"/>
            </w:pPr>
            <w:r>
              <w:t xml:space="preserve">DAO: голосование, репутация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L4</w:t>
            </w:r>
          </w:p>
        </w:tc>
        <w:tc>
          <w:tcPr/>
          <w:p>
            <w:pPr>
              <w:pStyle w:val="Compact"/>
            </w:pPr>
            <w:r>
              <w:t xml:space="preserve">Привязка логики пользователя к сессиям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27" w:name="версия-и-статус"/>
    <w:p>
      <w:pPr>
        <w:pStyle w:val="Heading2"/>
      </w:pPr>
      <w:r>
        <w:t xml:space="preserve">📅 Версия и статус</w:t>
      </w:r>
    </w:p>
    <w:p>
      <w:pPr>
        <w:pStyle w:val="Compact"/>
        <w:numPr>
          <w:ilvl w:val="0"/>
          <w:numId w:val="1006"/>
        </w:numPr>
      </w:pPr>
      <w:r>
        <w:t xml:space="preserve">Версия: id.v0.1 (2025-07-07)</w:t>
      </w:r>
    </w:p>
    <w:p>
      <w:pPr>
        <w:pStyle w:val="Compact"/>
        <w:numPr>
          <w:ilvl w:val="0"/>
          <w:numId w:val="1006"/>
        </w:numPr>
      </w:pPr>
      <w:r>
        <w:t xml:space="preserve">Совместим с W3C DID-Core, AIUZ Governance Layer v0.1</w:t>
      </w:r>
    </w:p>
    <w:p>
      <w:pPr>
        <w:pStyle w:val="Compact"/>
        <w:numPr>
          <w:ilvl w:val="0"/>
          <w:numId w:val="1006"/>
        </w:numPr>
      </w:pPr>
      <w:r>
        <w:t xml:space="preserve">Готов к расширению на KYC/AML сценарии и биоаутентификацию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2025-07-07T09:30:39Z</dcterms:created>
  <dcterms:modified xsi:type="dcterms:W3CDTF">2025-07-07T09:30:39Z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