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X81e47866f7945fc2209a0ae4bf169680f1193d9"/>
    <w:p>
      <w:pPr>
        <w:pStyle w:val="Heading1"/>
      </w:pPr>
      <w:r>
        <w:t xml:space="preserve">Phase II: Applied Cases and Visualization Framework of the Fractal Metascience Paradigm</w:t>
      </w:r>
    </w:p>
    <w:bookmarkStart w:id="20" w:name="abstract"/>
    <w:p>
      <w:pPr>
        <w:pStyle w:val="Heading2"/>
      </w:pPr>
      <w:r>
        <w:t xml:space="preserve">Abstract</w:t>
      </w:r>
    </w:p>
    <w:p>
      <w:pPr>
        <w:pStyle w:val="FirstParagraph"/>
      </w:pPr>
      <w:r>
        <w:t xml:space="preserve">This phase builds upon the foundational monograph of the Fractal Metascience Paradigm by operationalizing the theoretical framework through applied interdisciplinary case studies and the implementation of the Terra Codex visualization system. It bridges abstract theoretical constructs with empirical and systemic applications, emphasizing cognitive modeling, sustainability frameworks, and quantum-informed epistemologies.</w:t>
      </w:r>
    </w:p>
    <w:bookmarkEnd w:id="20"/>
    <w:bookmarkStart w:id="21" w:name="introduction-to-phase-ii"/>
    <w:p>
      <w:pPr>
        <w:pStyle w:val="Heading2"/>
      </w:pPr>
      <w:r>
        <w:t xml:space="preserve">1. Introduction to Phase II</w:t>
      </w:r>
    </w:p>
    <w:p>
      <w:pPr>
        <w:pStyle w:val="FirstParagraph"/>
      </w:pPr>
      <w:r>
        <w:t xml:space="preserve">Following the articulation of the theoretical core of the Fractal Metascience Paradigm (Phase I), Phase II initiates its application to complex systems across domains. The implementation focuses on demonstrating:</w:t>
      </w:r>
    </w:p>
    <w:p>
      <w:pPr>
        <w:pStyle w:val="Compact"/>
        <w:numPr>
          <w:ilvl w:val="0"/>
          <w:numId w:val="1001"/>
        </w:numPr>
      </w:pPr>
      <w:r>
        <w:t xml:space="preserve">Case-based interdisciplinary simulations</w:t>
      </w:r>
    </w:p>
    <w:p>
      <w:pPr>
        <w:pStyle w:val="Compact"/>
        <w:numPr>
          <w:ilvl w:val="0"/>
          <w:numId w:val="1001"/>
        </w:numPr>
      </w:pPr>
      <w:r>
        <w:t xml:space="preserve">Functional architecture of Terra Codex as an AI-augmented visual interface</w:t>
      </w:r>
    </w:p>
    <w:p>
      <w:pPr>
        <w:pStyle w:val="Compact"/>
        <w:numPr>
          <w:ilvl w:val="0"/>
          <w:numId w:val="1001"/>
        </w:numPr>
      </w:pPr>
      <w:r>
        <w:t xml:space="preserve">Integration with real-time dynamic systems (neurobiology, ecological AI, cognitive education)</w:t>
      </w:r>
    </w:p>
    <w:bookmarkEnd w:id="21"/>
    <w:bookmarkStart w:id="24" w:name="methodological-framework"/>
    <w:p>
      <w:pPr>
        <w:pStyle w:val="Heading2"/>
      </w:pPr>
      <w:r>
        <w:t xml:space="preserve">2. Methodological Framework</w:t>
      </w:r>
    </w:p>
    <w:bookmarkStart w:id="22" w:name="quantum-informed-systems-thinking"/>
    <w:p>
      <w:pPr>
        <w:pStyle w:val="Heading3"/>
      </w:pPr>
      <w:r>
        <w:t xml:space="preserve">2.1. Quantum-Informed Systems Thinking</w:t>
      </w:r>
    </w:p>
    <w:p>
      <w:pPr>
        <w:pStyle w:val="FirstParagraph"/>
      </w:pPr>
      <w:r>
        <w:t xml:space="preserve">All applied cases follow the simulation protocol of quantum superposition modeling, enabling layered causal interrelations to be represented in fractal ontologies. This method draws upon:</w:t>
      </w:r>
      <w:r>
        <w:t xml:space="preserve"> </w:t>
      </w:r>
      <w:r>
        <w:t xml:space="preserve">- Bohr’s complementarity principle (Bohr, 1928)</w:t>
      </w:r>
      <w:r>
        <w:t xml:space="preserve"> </w:t>
      </w:r>
      <w:r>
        <w:t xml:space="preserve">- Quantum cognition (Busemeyer &amp; Bruza, 2012)</w:t>
      </w:r>
      <w:r>
        <w:t xml:space="preserve"> </w:t>
      </w:r>
      <w:r>
        <w:t xml:space="preserve">- Complexity science in cognitive-educational systems (Mitchell, 2009)</w:t>
      </w:r>
    </w:p>
    <w:bookmarkEnd w:id="22"/>
    <w:bookmarkStart w:id="23" w:name="Xa74294b491f5d3e1b17230b7c8708a31f2e9d12"/>
    <w:p>
      <w:pPr>
        <w:pStyle w:val="Heading3"/>
      </w:pPr>
      <w:r>
        <w:t xml:space="preserve">2.2. Visual Metaontology: Terra Codex Interface</w:t>
      </w:r>
    </w:p>
    <w:p>
      <w:pPr>
        <w:pStyle w:val="FirstParagraph"/>
      </w:pPr>
      <w:r>
        <w:t xml:space="preserve">The Terra Codex operates as a visual simulator rendering superpositional, fractal, and feedback-based systems across domains. It translates theoretical constructs into modular, adaptive knowledge representations. The following technologies are utilized:</w:t>
      </w:r>
      <w:r>
        <w:t xml:space="preserve"> </w:t>
      </w:r>
      <w:r>
        <w:t xml:space="preserve">- React-based UI with Tailwind and Recharts</w:t>
      </w:r>
      <w:r>
        <w:t xml:space="preserve"> </w:t>
      </w:r>
      <w:r>
        <w:t xml:space="preserve">- State-management via triadic entanglement model (agent–observer–system)</w:t>
      </w:r>
      <w:r>
        <w:t xml:space="preserve"> </w:t>
      </w:r>
      <w:r>
        <w:t xml:space="preserve">- Dynamic XAI overlays for transparency</w:t>
      </w:r>
    </w:p>
    <w:bookmarkEnd w:id="23"/>
    <w:bookmarkEnd w:id="24"/>
    <w:bookmarkStart w:id="27" w:name="Xb5f365ada5b103437252ed9a27be9dcb42f6a19"/>
    <w:p>
      <w:pPr>
        <w:pStyle w:val="Heading2"/>
      </w:pPr>
      <w:r>
        <w:t xml:space="preserve">3. Applied Case I: Neurocognitive Learning Systems</w:t>
      </w:r>
    </w:p>
    <w:bookmarkStart w:id="25" w:name="overview"/>
    <w:p>
      <w:pPr>
        <w:pStyle w:val="Heading3"/>
      </w:pPr>
      <w:r>
        <w:t xml:space="preserve">3.1. Overview</w:t>
      </w:r>
    </w:p>
    <w:p>
      <w:pPr>
        <w:pStyle w:val="FirstParagraph"/>
      </w:pPr>
      <w:r>
        <w:t xml:space="preserve">This case demonstrates how quantum-fractal cognition modeling improves adaptive learning systems and neuroplasticity-based feedback loops.</w:t>
      </w:r>
    </w:p>
    <w:bookmarkEnd w:id="25"/>
    <w:bookmarkStart w:id="26" w:name="application"/>
    <w:p>
      <w:pPr>
        <w:pStyle w:val="Heading3"/>
      </w:pPr>
      <w:r>
        <w:t xml:space="preserve">3.2. Application</w:t>
      </w:r>
    </w:p>
    <w:p>
      <w:pPr>
        <w:pStyle w:val="FirstParagraph"/>
      </w:pPr>
      <w:r>
        <w:t xml:space="preserve">Using the Terra Codex engine:</w:t>
      </w:r>
      <w:r>
        <w:t xml:space="preserve"> </w:t>
      </w:r>
      <w:r>
        <w:t xml:space="preserve">- Learner data is rendered as a feedback-responsive cognitive map</w:t>
      </w:r>
      <w:r>
        <w:t xml:space="preserve"> </w:t>
      </w:r>
      <w:r>
        <w:t xml:space="preserve">- Dynamic adjustment of learning trajectories based on real-time attention and error patterns</w:t>
      </w:r>
      <w:r>
        <w:t xml:space="preserve"> </w:t>
      </w:r>
      <w:r>
        <w:t xml:space="preserve">- Integration with fMRI-simulated neurofeedback (Davidson &amp; McEwen, 2012)</w:t>
      </w:r>
    </w:p>
    <w:bookmarkEnd w:id="26"/>
    <w:bookmarkEnd w:id="27"/>
    <w:bookmarkStart w:id="30" w:name="X8baea7747b7554ccb6b0bfa552743dd695f6d71"/>
    <w:p>
      <w:pPr>
        <w:pStyle w:val="Heading2"/>
      </w:pPr>
      <w:r>
        <w:t xml:space="preserve">4. Applied Case II: AI in Ecological Fractal Governance</w:t>
      </w:r>
    </w:p>
    <w:bookmarkStart w:id="28" w:name="context"/>
    <w:p>
      <w:pPr>
        <w:pStyle w:val="Heading3"/>
      </w:pPr>
      <w:r>
        <w:t xml:space="preserve">4.1. Context</w:t>
      </w:r>
    </w:p>
    <w:p>
      <w:pPr>
        <w:pStyle w:val="FirstParagraph"/>
      </w:pPr>
      <w:r>
        <w:t xml:space="preserve">Smart ecosystems require multi-scalar decision processes that conventional linear AI fails to represent.</w:t>
      </w:r>
    </w:p>
    <w:bookmarkEnd w:id="28"/>
    <w:bookmarkStart w:id="29" w:name="implementation"/>
    <w:p>
      <w:pPr>
        <w:pStyle w:val="Heading3"/>
      </w:pPr>
      <w:r>
        <w:t xml:space="preserve">4.2. Implementation</w:t>
      </w:r>
    </w:p>
    <w:p>
      <w:pPr>
        <w:pStyle w:val="FirstParagraph"/>
      </w:pPr>
      <w:r>
        <w:t xml:space="preserve">Terra Codex visualizes:</w:t>
      </w:r>
      <w:r>
        <w:t xml:space="preserve"> </w:t>
      </w:r>
      <w:r>
        <w:t xml:space="preserve">- Nested governance nodes in digital twin cities</w:t>
      </w:r>
      <w:r>
        <w:t xml:space="preserve"> </w:t>
      </w:r>
      <w:r>
        <w:t xml:space="preserve">- Feedback loops from environmental sensors</w:t>
      </w:r>
      <w:r>
        <w:t xml:space="preserve"> </w:t>
      </w:r>
      <w:r>
        <w:t xml:space="preserve">- Fractal decision-tree optimization (Batty, 2007)</w:t>
      </w:r>
    </w:p>
    <w:bookmarkEnd w:id="29"/>
    <w:bookmarkEnd w:id="30"/>
    <w:bookmarkStart w:id="33" w:name="Xf6073f198564c1ae6046c86fdcee0c697cc7493"/>
    <w:p>
      <w:pPr>
        <w:pStyle w:val="Heading2"/>
      </w:pPr>
      <w:r>
        <w:t xml:space="preserve">5. Applied Case III: Knowledge Architecture in Metascientific Research</w:t>
      </w:r>
    </w:p>
    <w:bookmarkStart w:id="31" w:name="problem"/>
    <w:p>
      <w:pPr>
        <w:pStyle w:val="Heading3"/>
      </w:pPr>
      <w:r>
        <w:t xml:space="preserve">5.1. Problem</w:t>
      </w:r>
    </w:p>
    <w:p>
      <w:pPr>
        <w:pStyle w:val="FirstParagraph"/>
      </w:pPr>
      <w:r>
        <w:t xml:space="preserve">Fragmentation in scientific domains limits innovation and systemic alignment.</w:t>
      </w:r>
    </w:p>
    <w:bookmarkEnd w:id="31"/>
    <w:bookmarkStart w:id="32" w:name="solution"/>
    <w:p>
      <w:pPr>
        <w:pStyle w:val="Heading3"/>
      </w:pPr>
      <w:r>
        <w:t xml:space="preserve">5.2. Solution</w:t>
      </w:r>
    </w:p>
    <w:p>
      <w:pPr>
        <w:pStyle w:val="FirstParagraph"/>
      </w:pPr>
      <w:r>
        <w:t xml:space="preserve">Terra Codex enables:</w:t>
      </w:r>
      <w:r>
        <w:t xml:space="preserve"> </w:t>
      </w:r>
      <w:r>
        <w:t xml:space="preserve">- Knowledge fusion across physics, biology, and social systems</w:t>
      </w:r>
      <w:r>
        <w:t xml:space="preserve"> </w:t>
      </w:r>
      <w:r>
        <w:t xml:space="preserve">- Meta-fractal indexing of concepts and citations</w:t>
      </w:r>
      <w:r>
        <w:t xml:space="preserve"> </w:t>
      </w:r>
      <w:r>
        <w:t xml:space="preserve">- Epistemic visualization of theoretical coherence and contradiction zones</w:t>
      </w:r>
    </w:p>
    <w:bookmarkEnd w:id="32"/>
    <w:bookmarkEnd w:id="33"/>
    <w:bookmarkStart w:id="34" w:name="visualization-modules-and-interfaces"/>
    <w:p>
      <w:pPr>
        <w:pStyle w:val="Heading2"/>
      </w:pPr>
      <w:r>
        <w:t xml:space="preserve">6. Visualization Modules and Interfaces</w:t>
      </w:r>
    </w:p>
    <w:p>
      <w:pPr>
        <w:pStyle w:val="Compact"/>
        <w:numPr>
          <w:ilvl w:val="0"/>
          <w:numId w:val="1002"/>
        </w:numPr>
      </w:pPr>
      <w:r>
        <w:rPr>
          <w:b/>
          <w:bCs/>
        </w:rPr>
        <w:t xml:space="preserve">Fractal Mapping Grid</w:t>
      </w:r>
      <w:r>
        <w:t xml:space="preserve">: collapsible node-based interface for cross-domain systems</w:t>
      </w:r>
    </w:p>
    <w:p>
      <w:pPr>
        <w:pStyle w:val="Compact"/>
        <w:numPr>
          <w:ilvl w:val="0"/>
          <w:numId w:val="1002"/>
        </w:numPr>
      </w:pPr>
      <w:r>
        <w:rPr>
          <w:b/>
          <w:bCs/>
        </w:rPr>
        <w:t xml:space="preserve">Quantum State Simulator</w:t>
      </w:r>
      <w:r>
        <w:t xml:space="preserve">: superpositional visualization of causal potentials</w:t>
      </w:r>
    </w:p>
    <w:p>
      <w:pPr>
        <w:pStyle w:val="Compact"/>
        <w:numPr>
          <w:ilvl w:val="0"/>
          <w:numId w:val="1002"/>
        </w:numPr>
      </w:pPr>
      <w:r>
        <w:rPr>
          <w:b/>
          <w:bCs/>
        </w:rPr>
        <w:t xml:space="preserve">Temporal Dialectics Renderer</w:t>
      </w:r>
      <w:r>
        <w:t xml:space="preserve">: diachronic/synchronic flows with ontological weights</w:t>
      </w:r>
    </w:p>
    <w:bookmarkEnd w:id="34"/>
    <w:bookmarkStart w:id="35" w:name="discussion"/>
    <w:p>
      <w:pPr>
        <w:pStyle w:val="Heading2"/>
      </w:pPr>
      <w:r>
        <w:t xml:space="preserve">7. Discussion</w:t>
      </w:r>
    </w:p>
    <w:p>
      <w:pPr>
        <w:pStyle w:val="FirstParagraph"/>
      </w:pPr>
      <w:r>
        <w:t xml:space="preserve">These applied cases demonstrate that the Fractal Metascience Paradigm is not merely theoretical but functions as a universal modeling schema adaptable to cognitive, ecological, and epistemic systems. Terra Codex emerges as a scalable infrastructure for interdisciplinary scientific design.</w:t>
      </w:r>
    </w:p>
    <w:bookmarkEnd w:id="35"/>
    <w:bookmarkStart w:id="36" w:name="conclusion"/>
    <w:p>
      <w:pPr>
        <w:pStyle w:val="Heading2"/>
      </w:pPr>
      <w:r>
        <w:t xml:space="preserve">8. Conclusion</w:t>
      </w:r>
    </w:p>
    <w:p>
      <w:pPr>
        <w:pStyle w:val="FirstParagraph"/>
      </w:pPr>
      <w:r>
        <w:t xml:space="preserve">Phase II marks the emergence of a simulation-ready, interactive paradigm that merges theoretical elegance with applied functionality, setting the groundwork for transdisciplinary science in the quantum age.</w:t>
      </w:r>
    </w:p>
    <w:bookmarkEnd w:id="36"/>
    <w:bookmarkStart w:id="37" w:name="references"/>
    <w:p>
      <w:pPr>
        <w:pStyle w:val="Heading2"/>
      </w:pPr>
      <w:r>
        <w:t xml:space="preserve">References</w:t>
      </w:r>
    </w:p>
    <w:p>
      <w:pPr>
        <w:pStyle w:val="Compact"/>
        <w:numPr>
          <w:ilvl w:val="0"/>
          <w:numId w:val="1003"/>
        </w:numPr>
      </w:pPr>
      <w:r>
        <w:t xml:space="preserve">Bohr, N. (1928). The quantum postulate and the recent development of atomic theory.</w:t>
      </w:r>
      <w:r>
        <w:t xml:space="preserve"> </w:t>
      </w:r>
      <w:r>
        <w:rPr>
          <w:i/>
          <w:iCs/>
        </w:rPr>
        <w:t xml:space="preserve">Nature</w:t>
      </w:r>
      <w:r>
        <w:t xml:space="preserve">, 121, 580–590.</w:t>
      </w:r>
    </w:p>
    <w:p>
      <w:pPr>
        <w:pStyle w:val="Compact"/>
        <w:numPr>
          <w:ilvl w:val="0"/>
          <w:numId w:val="1003"/>
        </w:numPr>
      </w:pPr>
      <w:r>
        <w:t xml:space="preserve">Busemeyer, J. R., &amp; Bruza, P. D. (2012).</w:t>
      </w:r>
      <w:r>
        <w:t xml:space="preserve"> </w:t>
      </w:r>
      <w:r>
        <w:rPr>
          <w:i/>
          <w:iCs/>
        </w:rPr>
        <w:t xml:space="preserve">Quantum models of cognition and decision</w:t>
      </w:r>
      <w:r>
        <w:t xml:space="preserve">. Cambridge University Press.</w:t>
      </w:r>
    </w:p>
    <w:p>
      <w:pPr>
        <w:pStyle w:val="Compact"/>
        <w:numPr>
          <w:ilvl w:val="0"/>
          <w:numId w:val="1003"/>
        </w:numPr>
      </w:pPr>
      <w:r>
        <w:t xml:space="preserve">Davidson, R. J., &amp; McEwen, B. S. (2012). Social influences on neuroplasticity: stress and interventions to promote well-being.</w:t>
      </w:r>
      <w:r>
        <w:t xml:space="preserve"> </w:t>
      </w:r>
      <w:r>
        <w:rPr>
          <w:i/>
          <w:iCs/>
        </w:rPr>
        <w:t xml:space="preserve">Nature Neuroscience</w:t>
      </w:r>
      <w:r>
        <w:t xml:space="preserve">, 15(5), 689–695.</w:t>
      </w:r>
    </w:p>
    <w:p>
      <w:pPr>
        <w:pStyle w:val="Compact"/>
        <w:numPr>
          <w:ilvl w:val="0"/>
          <w:numId w:val="1003"/>
        </w:numPr>
      </w:pPr>
      <w:r>
        <w:t xml:space="preserve">Batty, M. (2007).</w:t>
      </w:r>
      <w:r>
        <w:t xml:space="preserve"> </w:t>
      </w:r>
      <w:r>
        <w:rPr>
          <w:i/>
          <w:iCs/>
        </w:rPr>
        <w:t xml:space="preserve">Cities and complexity: understanding cities with cellular automata, agent-based models, and fractals</w:t>
      </w:r>
      <w:r>
        <w:t xml:space="preserve">. MIT Press.</w:t>
      </w:r>
    </w:p>
    <w:p>
      <w:pPr>
        <w:pStyle w:val="Compact"/>
        <w:numPr>
          <w:ilvl w:val="0"/>
          <w:numId w:val="1003"/>
        </w:numPr>
      </w:pPr>
      <w:r>
        <w:t xml:space="preserve">Mitchell, M. (2009).</w:t>
      </w:r>
      <w:r>
        <w:t xml:space="preserve"> </w:t>
      </w:r>
      <w:r>
        <w:rPr>
          <w:i/>
          <w:iCs/>
        </w:rPr>
        <w:t xml:space="preserve">Complexity: A guided tour</w:t>
      </w:r>
      <w:r>
        <w:t xml:space="preserve">. Oxford University Press.</w:t>
      </w:r>
    </w:p>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2025-07-30T08:57:29Z</dcterms:created>
  <dcterms:modified xsi:type="dcterms:W3CDTF">2025-07-30T08:57:29Z</dcterms:modified>
</cp:coreProperties>
</file>

<file path=docProps/custom.xml><?xml version="1.0" encoding="utf-8"?>
<Properties xmlns="http://schemas.openxmlformats.org/officeDocument/2006/custom-properties" xmlns:vt="http://schemas.openxmlformats.org/officeDocument/2006/docPropsVTypes"/>
</file>