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0" w:name="X37dde1fd3a8a26b73980df8e868170f4d788dfe"/>
    <w:p>
      <w:pPr>
        <w:pStyle w:val="Heading3"/>
      </w:pPr>
      <w:r>
        <w:t xml:space="preserve">Тезаурус в сфере туризма и индустрии гостеприимства: лексико-семантическое моделирование и цифровое применение</w:t>
      </w:r>
    </w:p>
    <w:bookmarkStart w:id="20" w:name="аннотация"/>
    <w:p>
      <w:pPr>
        <w:pStyle w:val="Heading4"/>
      </w:pPr>
      <w:r>
        <w:t xml:space="preserve">Аннотация</w:t>
      </w:r>
    </w:p>
    <w:p>
      <w:pPr>
        <w:pStyle w:val="FirstParagraph"/>
      </w:pPr>
      <w:r>
        <w:t xml:space="preserve">Статья посвящена применению электронного тезауруса в специализированной области — туризме и индустрии гостеприимства. Обосновывается выбор данной сферы как приоритетной для реализации концепции многоуровневого, мультиязычного, корпусно-ориентированного лексикографического ресурса. Анализируются тематические поддомены, структура понятийных гнёзд, типы лексических связей, межъязыковые соответствия и возможности цифрового применения в системах образования, перевода и искусственного интеллекта.</w:t>
      </w:r>
    </w:p>
    <w:bookmarkEnd w:id="20"/>
    <w:bookmarkStart w:id="21" w:name="ключевые-слова"/>
    <w:p>
      <w:pPr>
        <w:pStyle w:val="Heading4"/>
      </w:pPr>
      <w:r>
        <w:t xml:space="preserve">Ключевые слова</w:t>
      </w:r>
    </w:p>
    <w:p>
      <w:pPr>
        <w:pStyle w:val="FirstParagraph"/>
      </w:pPr>
      <w:r>
        <w:t xml:space="preserve">туризм, лексикография, тезаурус, гостиница, бронирование, гид, транспорт, узбекский язык, немецкий язык, контекст, частотность</w:t>
      </w:r>
    </w:p>
    <w:bookmarkEnd w:id="21"/>
    <w:bookmarkStart w:id="22" w:name="введение"/>
    <w:p>
      <w:pPr>
        <w:pStyle w:val="Heading4"/>
      </w:pPr>
      <w:r>
        <w:t xml:space="preserve">1. Введение</w:t>
      </w:r>
    </w:p>
    <w:p>
      <w:pPr>
        <w:pStyle w:val="FirstParagraph"/>
      </w:pPr>
      <w:r>
        <w:t xml:space="preserve">Сфера туризма в Узбекистане в последние годы стала одним из приоритетов государственной политики. Согласно данным Государственного комитета по развитию туризма, в 2022 году страну посетили свыше 5 миллионов иностранных туристов, а доля туризма в ВВП составила около 3,5%. Развитие инфраструктуры, принятие стратегий по продвижению культурного наследия, а также либерализация визового режима создали объективные условия для внедрения лингвистических и цифровых инструментов поддержки. В этом контексте разработка специализированного тезауруса, ориентированного на туристическую сферу, представляется актуальным шагом, особенно в условиях постпандемического восстановления отрасли.</w:t>
      </w:r>
    </w:p>
    <w:bookmarkEnd w:id="22"/>
    <w:bookmarkStart w:id="23" w:name="причины-выбора-домена-туризма"/>
    <w:p>
      <w:pPr>
        <w:pStyle w:val="Heading4"/>
      </w:pPr>
      <w:r>
        <w:t xml:space="preserve">2. Причины выбора домена туризма</w:t>
      </w:r>
    </w:p>
    <w:p>
      <w:pPr>
        <w:pStyle w:val="Compact"/>
        <w:numPr>
          <w:ilvl w:val="0"/>
          <w:numId w:val="1001"/>
        </w:numPr>
      </w:pPr>
      <w:r>
        <w:t xml:space="preserve">Туризм входит в число ключевых отраслей экономики Узбекистана (см. Стратегия развития туризма 2021–2025);</w:t>
      </w:r>
    </w:p>
    <w:p>
      <w:pPr>
        <w:pStyle w:val="Compact"/>
        <w:numPr>
          <w:ilvl w:val="0"/>
          <w:numId w:val="1001"/>
        </w:numPr>
      </w:pPr>
      <w:r>
        <w:t xml:space="preserve">Высокая лингвистическая нагрузка: информационные материалы, экскурсии, онлайн-интерфейсы, коммуникация;</w:t>
      </w:r>
    </w:p>
    <w:p>
      <w:pPr>
        <w:pStyle w:val="Compact"/>
        <w:numPr>
          <w:ilvl w:val="0"/>
          <w:numId w:val="1001"/>
        </w:numPr>
      </w:pPr>
      <w:r>
        <w:t xml:space="preserve">Богатый корпус источников: туристические сайты, официальные публикации, рекламные брошюры;</w:t>
      </w:r>
    </w:p>
    <w:p>
      <w:pPr>
        <w:pStyle w:val="Compact"/>
        <w:numPr>
          <w:ilvl w:val="0"/>
          <w:numId w:val="1001"/>
        </w:numPr>
      </w:pPr>
      <w:r>
        <w:t xml:space="preserve">Повышенный спрос на качественные переводы и профессиональную языковую подготовку.</w:t>
      </w:r>
    </w:p>
    <w:bookmarkEnd w:id="23"/>
    <w:bookmarkStart w:id="24" w:name="тематическая-структура-и-поддомены"/>
    <w:p>
      <w:pPr>
        <w:pStyle w:val="Heading4"/>
      </w:pPr>
      <w:r>
        <w:t xml:space="preserve">3. Тематическая структура и поддомены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Путешествие и транспорт</w:t>
      </w:r>
      <w:r>
        <w:t xml:space="preserve"> </w:t>
      </w:r>
      <w:r>
        <w:t xml:space="preserve">(аэропорт, поездка, пересадка)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Проживание</w:t>
      </w:r>
      <w:r>
        <w:t xml:space="preserve"> </w:t>
      </w:r>
      <w:r>
        <w:t xml:space="preserve">(отель, регистрация, номера, удобства)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Питание</w:t>
      </w:r>
      <w:r>
        <w:t xml:space="preserve"> </w:t>
      </w:r>
      <w:r>
        <w:t xml:space="preserve">(ресторан, меню, обслуживание, диеты)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Гид и экскурсии</w:t>
      </w:r>
      <w:r>
        <w:t xml:space="preserve"> </w:t>
      </w:r>
      <w:r>
        <w:t xml:space="preserve">(музеи, маршруты, достопримечательности)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Безопасность и здоровье</w:t>
      </w:r>
      <w:r>
        <w:t xml:space="preserve"> </w:t>
      </w:r>
      <w:r>
        <w:t xml:space="preserve">(аптечка, страхование, санитарные правила)</w:t>
      </w:r>
    </w:p>
    <w:bookmarkEnd w:id="24"/>
    <w:bookmarkStart w:id="25" w:name="примеры-концептуальных-гнёзд"/>
    <w:p>
      <w:pPr>
        <w:pStyle w:val="Heading4"/>
      </w:pPr>
      <w:r>
        <w:t xml:space="preserve">4. Примеры концептуальных гнёзд</w:t>
      </w:r>
    </w:p>
    <w:p>
      <w:pPr>
        <w:pStyle w:val="FirstParagraph"/>
      </w:pPr>
      <w:r>
        <w:t xml:space="preserve">Ниже представлена таблица, иллюстрирующая лексико-семантическое гнездо</w:t>
      </w:r>
      <w:r>
        <w:t xml:space="preserve"> </w:t>
      </w:r>
      <w:r>
        <w:t xml:space="preserve">“Проживание в гостинице”</w:t>
      </w:r>
      <w:r>
        <w:t xml:space="preserve"> </w:t>
      </w:r>
      <w:r>
        <w:t xml:space="preserve">с параллелями между узбекским и немецким языками, а также функциональными и грамматическими пометками.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101"/>
        <w:gridCol w:w="1258"/>
        <w:gridCol w:w="1625"/>
        <w:gridCol w:w="944"/>
        <w:gridCol w:w="944"/>
        <w:gridCol w:w="2045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Концепт</w:t>
            </w:r>
          </w:p>
        </w:tc>
        <w:tc>
          <w:tcPr/>
          <w:p>
            <w:pPr>
              <w:pStyle w:val="Compact"/>
            </w:pPr>
            <w:r>
              <w:t xml:space="preserve">Немецкий термин</w:t>
            </w:r>
          </w:p>
        </w:tc>
        <w:tc>
          <w:tcPr/>
          <w:p>
            <w:pPr>
              <w:pStyle w:val="Compact"/>
            </w:pPr>
            <w:r>
              <w:t xml:space="preserve">Узбекский термин</w:t>
            </w:r>
          </w:p>
        </w:tc>
        <w:tc>
          <w:tcPr/>
          <w:p>
            <w:pPr>
              <w:pStyle w:val="Compact"/>
            </w:pPr>
            <w:r>
              <w:t xml:space="preserve">Частота (DE/UZ)</w:t>
            </w:r>
          </w:p>
        </w:tc>
        <w:tc>
          <w:tcPr/>
          <w:p>
            <w:pPr>
              <w:pStyle w:val="Compact"/>
            </w:pPr>
            <w:r>
              <w:t xml:space="preserve">Грам. категория</w:t>
            </w:r>
          </w:p>
        </w:tc>
        <w:tc>
          <w:tcPr/>
          <w:p>
            <w:pPr>
              <w:pStyle w:val="Compact"/>
            </w:pPr>
            <w:r>
              <w:t xml:space="preserve">Контекст/Примечание</w:t>
            </w:r>
          </w:p>
        </w:tc>
      </w:tr>
      <w:tr>
        <w:tc>
          <w:tcPr/>
          <w:p>
            <w:pPr>
              <w:pStyle w:val="Compact"/>
            </w:pPr>
            <w:r>
              <w:t xml:space="preserve">Бронирование</w:t>
            </w:r>
          </w:p>
        </w:tc>
        <w:tc>
          <w:tcPr/>
          <w:p>
            <w:pPr>
              <w:pStyle w:val="Compact"/>
            </w:pPr>
            <w:r>
              <w:t xml:space="preserve">buchen</w:t>
            </w:r>
          </w:p>
        </w:tc>
        <w:tc>
          <w:tcPr/>
          <w:p>
            <w:pPr>
              <w:pStyle w:val="Compact"/>
            </w:pPr>
            <w:r>
              <w:t xml:space="preserve">buyurtma qilmoq</w:t>
            </w:r>
          </w:p>
        </w:tc>
        <w:tc>
          <w:tcPr/>
          <w:p>
            <w:pPr>
              <w:pStyle w:val="Compact"/>
            </w:pPr>
            <w:r>
              <w:t xml:space="preserve">87 / 94</w:t>
            </w:r>
          </w:p>
        </w:tc>
        <w:tc>
          <w:tcPr/>
          <w:p>
            <w:pPr>
              <w:pStyle w:val="Compact"/>
            </w:pPr>
            <w:r>
              <w:t xml:space="preserve">глагол</w:t>
            </w:r>
          </w:p>
        </w:tc>
        <w:tc>
          <w:tcPr/>
          <w:p>
            <w:pPr>
              <w:pStyle w:val="Compact"/>
            </w:pPr>
            <w:r>
              <w:t xml:space="preserve">Ich möchte ein Zimmer buchen</w:t>
            </w:r>
          </w:p>
        </w:tc>
      </w:tr>
      <w:tr>
        <w:tc>
          <w:tcPr/>
          <w:p>
            <w:pPr>
              <w:pStyle w:val="Compact"/>
            </w:pPr>
            <w:r>
              <w:t xml:space="preserve">Подтверждение</w:t>
            </w:r>
          </w:p>
        </w:tc>
        <w:tc>
          <w:tcPr/>
          <w:p>
            <w:pPr>
              <w:pStyle w:val="Compact"/>
            </w:pPr>
            <w:r>
              <w:t xml:space="preserve">Bestätigung</w:t>
            </w:r>
          </w:p>
        </w:tc>
        <w:tc>
          <w:tcPr/>
          <w:p>
            <w:pPr>
              <w:pStyle w:val="Compact"/>
            </w:pPr>
            <w:r>
              <w:t xml:space="preserve">tasdiq, tasdiqnoma</w:t>
            </w:r>
          </w:p>
        </w:tc>
        <w:tc>
          <w:tcPr/>
          <w:p>
            <w:pPr>
              <w:pStyle w:val="Compact"/>
            </w:pPr>
            <w:r>
              <w:t xml:space="preserve">43 / 39</w:t>
            </w:r>
          </w:p>
        </w:tc>
        <w:tc>
          <w:tcPr/>
          <w:p>
            <w:pPr>
              <w:pStyle w:val="Compact"/>
            </w:pPr>
            <w:r>
              <w:t xml:space="preserve">существительное</w:t>
            </w:r>
          </w:p>
        </w:tc>
        <w:tc>
          <w:tcPr/>
          <w:p>
            <w:pPr>
              <w:pStyle w:val="Compact"/>
            </w:pPr>
            <w:r>
              <w:t xml:space="preserve">Buchungsbestätigung erhalten</w:t>
            </w:r>
          </w:p>
        </w:tc>
      </w:tr>
      <w:tr>
        <w:tc>
          <w:tcPr/>
          <w:p>
            <w:pPr>
              <w:pStyle w:val="Compact"/>
            </w:pPr>
            <w:r>
              <w:t xml:space="preserve">Заселение</w:t>
            </w:r>
          </w:p>
        </w:tc>
        <w:tc>
          <w:tcPr/>
          <w:p>
            <w:pPr>
              <w:pStyle w:val="Compact"/>
            </w:pPr>
            <w:r>
              <w:t xml:space="preserve">Check-in</w:t>
            </w:r>
          </w:p>
        </w:tc>
        <w:tc>
          <w:tcPr/>
          <w:p>
            <w:pPr>
              <w:pStyle w:val="Compact"/>
            </w:pPr>
            <w:r>
              <w:t xml:space="preserve">ro’yxatdan o’tish</w:t>
            </w:r>
          </w:p>
        </w:tc>
        <w:tc>
          <w:tcPr/>
          <w:p>
            <w:pPr>
              <w:pStyle w:val="Compact"/>
            </w:pPr>
            <w:r>
              <w:t xml:space="preserve">59 / 64</w:t>
            </w:r>
          </w:p>
        </w:tc>
        <w:tc>
          <w:tcPr/>
          <w:p>
            <w:pPr>
              <w:pStyle w:val="Compact"/>
            </w:pPr>
            <w:r>
              <w:t xml:space="preserve">существительное</w:t>
            </w:r>
          </w:p>
        </w:tc>
        <w:tc>
          <w:tcPr/>
          <w:p>
            <w:pPr>
              <w:pStyle w:val="Compact"/>
            </w:pPr>
            <w:r>
              <w:t xml:space="preserve">Check-in-Zeit ist ab 14:00</w:t>
            </w:r>
          </w:p>
        </w:tc>
      </w:tr>
      <w:tr>
        <w:tc>
          <w:tcPr/>
          <w:p>
            <w:pPr>
              <w:pStyle w:val="Compact"/>
            </w:pPr>
            <w:r>
              <w:t xml:space="preserve">Номер (двухместный)</w:t>
            </w:r>
          </w:p>
        </w:tc>
        <w:tc>
          <w:tcPr/>
          <w:p>
            <w:pPr>
              <w:pStyle w:val="Compact"/>
            </w:pPr>
            <w:r>
              <w:t xml:space="preserve">Doppelzimmer</w:t>
            </w:r>
          </w:p>
        </w:tc>
        <w:tc>
          <w:tcPr/>
          <w:p>
            <w:pPr>
              <w:pStyle w:val="Compact"/>
            </w:pPr>
            <w:r>
              <w:t xml:space="preserve">ikki kishilik xona</w:t>
            </w:r>
          </w:p>
        </w:tc>
        <w:tc>
          <w:tcPr/>
          <w:p>
            <w:pPr>
              <w:pStyle w:val="Compact"/>
            </w:pPr>
            <w:r>
              <w:t xml:space="preserve">54 / 72</w:t>
            </w:r>
          </w:p>
        </w:tc>
        <w:tc>
          <w:tcPr/>
          <w:p>
            <w:pPr>
              <w:pStyle w:val="Compact"/>
            </w:pPr>
            <w:r>
              <w:t xml:space="preserve">существительное</w:t>
            </w:r>
          </w:p>
        </w:tc>
        <w:tc>
          <w:tcPr/>
          <w:p>
            <w:pPr>
              <w:pStyle w:val="Compact"/>
            </w:pPr>
            <w:r>
              <w:t xml:space="preserve">Doppelzimmer mit Frühstück</w:t>
            </w:r>
          </w:p>
        </w:tc>
      </w:tr>
      <w:tr>
        <w:tc>
          <w:tcPr/>
          <w:p>
            <w:pPr>
              <w:pStyle w:val="Compact"/>
            </w:pPr>
            <w:r>
              <w:t xml:space="preserve">Услуга</w:t>
            </w:r>
          </w:p>
        </w:tc>
        <w:tc>
          <w:tcPr/>
          <w:p>
            <w:pPr>
              <w:pStyle w:val="Compact"/>
            </w:pPr>
            <w:r>
              <w:t xml:space="preserve">Service</w:t>
            </w:r>
          </w:p>
        </w:tc>
        <w:tc>
          <w:tcPr/>
          <w:p>
            <w:pPr>
              <w:pStyle w:val="Compact"/>
            </w:pPr>
            <w:r>
              <w:t xml:space="preserve">xizmat</w:t>
            </w:r>
          </w:p>
        </w:tc>
        <w:tc>
          <w:tcPr/>
          <w:p>
            <w:pPr>
              <w:pStyle w:val="Compact"/>
            </w:pPr>
            <w:r>
              <w:t xml:space="preserve">98 / 115</w:t>
            </w:r>
          </w:p>
        </w:tc>
        <w:tc>
          <w:tcPr/>
          <w:p>
            <w:pPr>
              <w:pStyle w:val="Compact"/>
            </w:pPr>
            <w:r>
              <w:t xml:space="preserve">существительное</w:t>
            </w:r>
          </w:p>
        </w:tc>
        <w:tc>
          <w:tcPr/>
          <w:p>
            <w:pPr>
              <w:pStyle w:val="Compact"/>
            </w:pPr>
            <w:r>
              <w:t xml:space="preserve">Zimmerservice verfügbar</w:t>
            </w:r>
          </w:p>
        </w:tc>
      </w:tr>
      <w:tr>
        <w:tc>
          <w:tcPr/>
          <w:p>
            <w:pPr>
              <w:pStyle w:val="Compact"/>
            </w:pPr>
            <w:r>
              <w:t xml:space="preserve">Отъезд</w:t>
            </w:r>
          </w:p>
        </w:tc>
        <w:tc>
          <w:tcPr/>
          <w:p>
            <w:pPr>
              <w:pStyle w:val="Compact"/>
            </w:pPr>
            <w:r>
              <w:t xml:space="preserve">Check-out</w:t>
            </w:r>
          </w:p>
        </w:tc>
        <w:tc>
          <w:tcPr/>
          <w:p>
            <w:pPr>
              <w:pStyle w:val="Compact"/>
            </w:pPr>
            <w:r>
              <w:t xml:space="preserve">chiqish, hisob-kitob qilish</w:t>
            </w:r>
          </w:p>
        </w:tc>
        <w:tc>
          <w:tcPr/>
          <w:p>
            <w:pPr>
              <w:pStyle w:val="Compact"/>
            </w:pPr>
            <w:r>
              <w:t xml:space="preserve">41 / 47</w:t>
            </w:r>
          </w:p>
        </w:tc>
        <w:tc>
          <w:tcPr/>
          <w:p>
            <w:pPr>
              <w:pStyle w:val="Compact"/>
            </w:pPr>
            <w:r>
              <w:t xml:space="preserve">существительное</w:t>
            </w:r>
          </w:p>
        </w:tc>
        <w:tc>
          <w:tcPr/>
          <w:p>
            <w:pPr>
              <w:pStyle w:val="Compact"/>
            </w:pPr>
            <w:r>
              <w:t xml:space="preserve">Check-out bis 12 Uhr</w:t>
            </w:r>
          </w:p>
        </w:tc>
      </w:tr>
    </w:tbl>
    <w:p>
      <w:pPr>
        <w:pStyle w:val="BodyText"/>
      </w:pPr>
      <w:r>
        <w:t xml:space="preserve">Такая модель позволяет визуализировать взаимосвязи между единицами в пределах тематического узла и формализовать структуру тезауруса в виде базы данных или сетевого графа.</w:t>
      </w:r>
      <w:r>
        <w:t xml:space="preserve"> </w:t>
      </w:r>
      <w:r>
        <w:rPr>
          <w:b/>
          <w:bCs/>
        </w:rPr>
        <w:t xml:space="preserve">Гнездо:</w:t>
      </w:r>
      <w:r>
        <w:rPr>
          <w:b/>
          <w:bCs/>
        </w:rPr>
        <w:t xml:space="preserve"> </w:t>
      </w:r>
      <w:r>
        <w:rPr>
          <w:b/>
          <w:bCs/>
        </w:rPr>
        <w:t xml:space="preserve">“Бронирование номера”</w:t>
      </w:r>
      <w:r>
        <w:t xml:space="preserve"> </w:t>
      </w:r>
      <w:r>
        <w:t xml:space="preserve">- buchen → buyurtma qilmoq</w:t>
      </w:r>
      <w:r>
        <w:t xml:space="preserve"> </w:t>
      </w:r>
      <w:r>
        <w:t xml:space="preserve">- Hotelreservierung → mehmonxona buyurtmasi</w:t>
      </w:r>
      <w:r>
        <w:t xml:space="preserve"> </w:t>
      </w:r>
      <w:r>
        <w:t xml:space="preserve">- Check-in → ro‘yxatdan o‘tish</w:t>
      </w:r>
      <w:r>
        <w:t xml:space="preserve"> </w:t>
      </w:r>
      <w:r>
        <w:t xml:space="preserve">- Bestätigung → tasdiq, tasdiqnoma</w:t>
      </w:r>
    </w:p>
    <w:p>
      <w:pPr>
        <w:pStyle w:val="BodyText"/>
      </w:pPr>
      <w:r>
        <w:rPr>
          <w:b/>
          <w:bCs/>
        </w:rPr>
        <w:t xml:space="preserve">Гнездо:</w:t>
      </w:r>
      <w:r>
        <w:rPr>
          <w:b/>
          <w:bCs/>
        </w:rPr>
        <w:t xml:space="preserve"> </w:t>
      </w:r>
      <w:r>
        <w:rPr>
          <w:b/>
          <w:bCs/>
        </w:rPr>
        <w:t xml:space="preserve">“Обслуживание в ресторане”</w:t>
      </w:r>
      <w:r>
        <w:t xml:space="preserve"> </w:t>
      </w:r>
      <w:r>
        <w:t xml:space="preserve">- bestellen → buyurtma bermoq</w:t>
      </w:r>
      <w:r>
        <w:t xml:space="preserve"> </w:t>
      </w:r>
      <w:r>
        <w:t xml:space="preserve">- Speisekarte → menyu</w:t>
      </w:r>
      <w:r>
        <w:t xml:space="preserve"> </w:t>
      </w:r>
      <w:r>
        <w:t xml:space="preserve">- Rechnung → hisob-kitob</w:t>
      </w:r>
      <w:r>
        <w:t xml:space="preserve"> </w:t>
      </w:r>
      <w:r>
        <w:t xml:space="preserve">- Trinkgeld → choypuli</w:t>
      </w:r>
    </w:p>
    <w:p>
      <w:pPr>
        <w:pStyle w:val="BodyText"/>
      </w:pPr>
      <w:r>
        <w:rPr>
          <w:b/>
          <w:bCs/>
        </w:rPr>
        <w:t xml:space="preserve">Гнездо:</w:t>
      </w:r>
      <w:r>
        <w:rPr>
          <w:b/>
          <w:bCs/>
        </w:rPr>
        <w:t xml:space="preserve"> </w:t>
      </w:r>
      <w:r>
        <w:rPr>
          <w:b/>
          <w:bCs/>
        </w:rPr>
        <w:t xml:space="preserve">“Экскурсионное обслуживание”</w:t>
      </w:r>
      <w:r>
        <w:t xml:space="preserve"> </w:t>
      </w:r>
      <w:r>
        <w:t xml:space="preserve">- Stadtführung → shahar bo‘ylab ekskursiya</w:t>
      </w:r>
      <w:r>
        <w:t xml:space="preserve"> </w:t>
      </w:r>
      <w:r>
        <w:t xml:space="preserve">- Fremdenführer → gid</w:t>
      </w:r>
      <w:r>
        <w:t xml:space="preserve"> </w:t>
      </w:r>
      <w:r>
        <w:t xml:space="preserve">- Eintrittskarte → kirish chiptasi</w:t>
      </w:r>
      <w:r>
        <w:t xml:space="preserve"> </w:t>
      </w:r>
      <w:r>
        <w:t xml:space="preserve">- Denkmal → yodgorlik, haykal</w:t>
      </w:r>
    </w:p>
    <w:p>
      <w:pPr>
        <w:pStyle w:val="BodyText"/>
      </w:pPr>
      <w:r>
        <w:rPr>
          <w:b/>
          <w:bCs/>
        </w:rPr>
        <w:t xml:space="preserve">Гнездо:</w:t>
      </w:r>
      <w:r>
        <w:rPr>
          <w:b/>
          <w:bCs/>
        </w:rPr>
        <w:t xml:space="preserve"> </w:t>
      </w:r>
      <w:r>
        <w:rPr>
          <w:b/>
          <w:bCs/>
        </w:rPr>
        <w:t xml:space="preserve">“Транспорт”</w:t>
      </w:r>
      <w:r>
        <w:t xml:space="preserve"> </w:t>
      </w:r>
      <w:r>
        <w:t xml:space="preserve">- Fahrkarte → yo‘l chiptasi</w:t>
      </w:r>
      <w:r>
        <w:t xml:space="preserve"> </w:t>
      </w:r>
      <w:r>
        <w:t xml:space="preserve">- Umsteigen → boshqa transportga o‘tish</w:t>
      </w:r>
      <w:r>
        <w:t xml:space="preserve"> </w:t>
      </w:r>
      <w:r>
        <w:t xml:space="preserve">- Gepäck → yuk</w:t>
      </w:r>
      <w:r>
        <w:t xml:space="preserve"> </w:t>
      </w:r>
      <w:r>
        <w:t xml:space="preserve">- Reiseziel → sayohat manzili</w:t>
      </w:r>
    </w:p>
    <w:bookmarkEnd w:id="25"/>
    <w:bookmarkStart w:id="26" w:name="лексикографическая-обработка"/>
    <w:p>
      <w:pPr>
        <w:pStyle w:val="Heading4"/>
      </w:pPr>
      <w:r>
        <w:t xml:space="preserve">5. Лексикографическая обработка</w:t>
      </w:r>
    </w:p>
    <w:p>
      <w:pPr>
        <w:pStyle w:val="FirstParagraph"/>
      </w:pPr>
      <w:r>
        <w:t xml:space="preserve">Каждая единица, включаемая в тезаурус, проходит следующие этапы:</w:t>
      </w:r>
      <w:r>
        <w:t xml:space="preserve"> </w:t>
      </w:r>
      <w:r>
        <w:t xml:space="preserve">- Частотный анализ на основе узбекских и немецких корпусов (uzbekcorpus.uz, DW-корпус);</w:t>
      </w:r>
      <w:r>
        <w:t xml:space="preserve"> </w:t>
      </w:r>
      <w:r>
        <w:t xml:space="preserve">- Грамматическое описание: часть речи, форма, валентность, сочетаемость;</w:t>
      </w:r>
      <w:r>
        <w:t xml:space="preserve"> </w:t>
      </w:r>
      <w:r>
        <w:t xml:space="preserve">- Семантическая разметка: синонимия, антонимия, гипонимия, коллокации, тематическая близость;</w:t>
      </w:r>
      <w:r>
        <w:t xml:space="preserve"> </w:t>
      </w:r>
      <w:r>
        <w:t xml:space="preserve">- Контекстуализация: «Ich möchte ein Zimmer buchen», «Nonushta bufeti ochilgan», «Sizning reysingiz kechikmoqda»;</w:t>
      </w:r>
      <w:r>
        <w:t xml:space="preserve"> </w:t>
      </w:r>
      <w:r>
        <w:t xml:space="preserve">- Построение семантических сетей на основе NLTK, SketchEngine, UDPipe.</w:t>
      </w:r>
    </w:p>
    <w:p>
      <w:pPr>
        <w:pStyle w:val="BodyText"/>
      </w:pPr>
      <w:r>
        <w:t xml:space="preserve">Пример частотного распределения (DW/uzbekcorpus.uz):</w:t>
      </w:r>
      <w:r>
        <w:t xml:space="preserve"> </w:t>
      </w:r>
      <w:r>
        <w:t xml:space="preserve">- buchen – 87 вх.</w:t>
      </w:r>
      <w:r>
        <w:t xml:space="preserve"> </w:t>
      </w:r>
      <w:r>
        <w:t xml:space="preserve">- Doppelzimmer – 54 вх.</w:t>
      </w:r>
      <w:r>
        <w:t xml:space="preserve"> </w:t>
      </w:r>
      <w:r>
        <w:t xml:space="preserve">- Stadtführung – 38 вх.</w:t>
      </w:r>
      <w:r>
        <w:t xml:space="preserve"> </w:t>
      </w:r>
      <w:r>
        <w:t xml:space="preserve">- Umsteigen – 61 вх.</w:t>
      </w:r>
    </w:p>
    <w:bookmarkEnd w:id="26"/>
    <w:bookmarkStart w:id="27" w:name="применение-в-ии-и-обучении"/>
    <w:p>
      <w:pPr>
        <w:pStyle w:val="Heading4"/>
      </w:pPr>
      <w:r>
        <w:t xml:space="preserve">6. Применение в ИИ и обучении</w:t>
      </w:r>
    </w:p>
    <w:p>
      <w:pPr>
        <w:pStyle w:val="Compact"/>
        <w:numPr>
          <w:ilvl w:val="0"/>
          <w:numId w:val="1003"/>
        </w:numPr>
      </w:pPr>
      <w:r>
        <w:t xml:space="preserve">Автоматизированный перевод и перефразирование туристических интерфейсов (DeepL, Yandex Translate);</w:t>
      </w:r>
    </w:p>
    <w:p>
      <w:pPr>
        <w:pStyle w:val="Compact"/>
        <w:numPr>
          <w:ilvl w:val="0"/>
          <w:numId w:val="1003"/>
        </w:numPr>
      </w:pPr>
      <w:r>
        <w:t xml:space="preserve">Генерация мультимодальных диалогов «турист–гид» на базе тезауруса;</w:t>
      </w:r>
    </w:p>
    <w:p>
      <w:pPr>
        <w:pStyle w:val="Compact"/>
        <w:numPr>
          <w:ilvl w:val="0"/>
          <w:numId w:val="1003"/>
        </w:numPr>
      </w:pPr>
      <w:r>
        <w:t xml:space="preserve">Интеграция в голосовые помощники и боты (UzbekTourBot);</w:t>
      </w:r>
    </w:p>
    <w:p>
      <w:pPr>
        <w:pStyle w:val="Compact"/>
        <w:numPr>
          <w:ilvl w:val="0"/>
          <w:numId w:val="1003"/>
        </w:numPr>
      </w:pPr>
      <w:r>
        <w:t xml:space="preserve">Создание обучающих платформ для гидов, сотрудников HoReCa;</w:t>
      </w:r>
    </w:p>
    <w:p>
      <w:pPr>
        <w:pStyle w:val="Compact"/>
        <w:numPr>
          <w:ilvl w:val="0"/>
          <w:numId w:val="1003"/>
        </w:numPr>
      </w:pPr>
      <w:r>
        <w:t xml:space="preserve">Моделирование адаптивных курсов (по аналогии с Goethe-Institut, Tourismus Deutsch A2–B2).</w:t>
      </w:r>
    </w:p>
    <w:bookmarkEnd w:id="27"/>
    <w:bookmarkStart w:id="28" w:name="выводы-и-перспективы"/>
    <w:p>
      <w:pPr>
        <w:pStyle w:val="Heading4"/>
      </w:pPr>
      <w:r>
        <w:t xml:space="preserve">7. Выводы и перспективы</w:t>
      </w:r>
    </w:p>
    <w:p>
      <w:pPr>
        <w:pStyle w:val="FirstParagraph"/>
      </w:pPr>
      <w:r>
        <w:t xml:space="preserve">Домен туризма демонстрирует высокую прикладную ценность для апробации тезаурусной модели. Сформированная структура может быть адаптирована для других отраслей — медицины, логистики, образования и международного сотрудничества. Проект представляет собой шаг к созданию интеллектуального мультиязычного ресурса нового поколения.</w:t>
      </w:r>
    </w:p>
    <w:bookmarkEnd w:id="28"/>
    <w:bookmarkStart w:id="29" w:name="литература"/>
    <w:p>
      <w:pPr>
        <w:pStyle w:val="Heading4"/>
      </w:pPr>
      <w:r>
        <w:t xml:space="preserve">Литература</w:t>
      </w:r>
    </w:p>
    <w:p>
      <w:pPr>
        <w:pStyle w:val="Compact"/>
        <w:numPr>
          <w:ilvl w:val="0"/>
          <w:numId w:val="1004"/>
        </w:numPr>
      </w:pPr>
      <w:r>
        <w:t xml:space="preserve">Государственный комитет по развитию туризма РУз. (2021). Национальная стратегия развития туризма Узбекистана 2021–2025. www.uzbektourism.uz</w:t>
      </w:r>
    </w:p>
    <w:p>
      <w:pPr>
        <w:pStyle w:val="Compact"/>
        <w:numPr>
          <w:ilvl w:val="0"/>
          <w:numId w:val="1004"/>
        </w:numPr>
      </w:pPr>
      <w:r>
        <w:t xml:space="preserve">Aksan, Y. et al. (2012). Building a National Corpus of Turkish. LREC.</w:t>
      </w:r>
    </w:p>
    <w:p>
      <w:pPr>
        <w:pStyle w:val="Compact"/>
        <w:numPr>
          <w:ilvl w:val="0"/>
          <w:numId w:val="1004"/>
        </w:numPr>
      </w:pPr>
      <w:r>
        <w:t xml:space="preserve">Fellbaum, C. (Ed.). (1998). WordNet: An Electronic Lexical Database. MIT Press.</w:t>
      </w:r>
    </w:p>
    <w:p>
      <w:pPr>
        <w:pStyle w:val="Compact"/>
        <w:numPr>
          <w:ilvl w:val="0"/>
          <w:numId w:val="1004"/>
        </w:numPr>
      </w:pPr>
      <w:r>
        <w:t xml:space="preserve">Упорова, Т. А. (2009). Частотный словарь узбекского языка. Ташкент: Фан.</w:t>
      </w:r>
    </w:p>
    <w:p>
      <w:pPr>
        <w:pStyle w:val="Compact"/>
        <w:numPr>
          <w:ilvl w:val="0"/>
          <w:numId w:val="1004"/>
        </w:numPr>
      </w:pPr>
      <w:r>
        <w:t xml:space="preserve">Duden Reise &amp; Tourismus. (2020). Mannheim: Bibliographisches Institut.</w:t>
      </w:r>
    </w:p>
    <w:p>
      <w:pPr>
        <w:pStyle w:val="Compact"/>
        <w:numPr>
          <w:ilvl w:val="0"/>
          <w:numId w:val="1004"/>
        </w:numPr>
      </w:pPr>
      <w:r>
        <w:t xml:space="preserve">EuroVoc Thesaurus. https://eur-lex.europa.eu</w:t>
      </w:r>
    </w:p>
    <w:p>
      <w:pPr>
        <w:pStyle w:val="Compact"/>
        <w:numPr>
          <w:ilvl w:val="0"/>
          <w:numId w:val="1004"/>
        </w:numPr>
      </w:pPr>
      <w:r>
        <w:t xml:space="preserve">OpenThesaurus.de. https://www.openthesaurus.de/</w:t>
      </w:r>
    </w:p>
    <w:p>
      <w:pPr>
        <w:pStyle w:val="Compact"/>
        <w:numPr>
          <w:ilvl w:val="0"/>
          <w:numId w:val="1004"/>
        </w:numPr>
      </w:pPr>
      <w:r>
        <w:t xml:space="preserve">Зализняк, А. А. (1977). Грамматический словарь русского языка. Москва.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rPr>
          <w:i/>
          <w:iCs/>
        </w:rPr>
        <w:t xml:space="preserve">Абдурашид Абдукаримов</w:t>
      </w:r>
      <w:r>
        <w:br/>
      </w:r>
      <w:r>
        <w:t xml:space="preserve">Ташкент, 2025</w:t>
      </w:r>
    </w:p>
    <w:bookmarkEnd w:id="29"/>
    <w:bookmarkEnd w:id="3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2025-07-04T07:35:01Z</dcterms:created>
  <dcterms:modified xsi:type="dcterms:W3CDTF">2025-07-04T07:35:01Z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