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Next-Generation Uzbek-German Digital Dictionaries: Problems and Solutions</w:t>
      </w:r>
    </w:p>
    <w:p>
      <w:r>
        <w:t>(Til: English)</w:t>
      </w:r>
    </w:p>
    <w:p/>
    <w:p>
      <w:pPr>
        <w:pStyle w:val="Heading1"/>
      </w:pPr>
      <w:r>
        <w:t>ABSTRACT</w:t>
      </w:r>
    </w:p>
    <w:p>
      <w:r>
        <w:t>This paper addresses current challenges in Uzbek-German and German-Uzbek bilingual dictionary construction. It argues for a new generation of online, AI-assisted, multimedia-enhanced, and user-editable thesaurus systems. The need for such tools is discussed in light of increasing cooperation between Uzbekistan and Germany in the areas of science, education, labor migration, and trade.</w:t>
      </w:r>
    </w:p>
    <w:p>
      <w:pPr>
        <w:pStyle w:val="Heading1"/>
      </w:pPr>
      <w:r>
        <w:t>INTRODUCTION</w:t>
      </w:r>
    </w:p>
    <w:p>
      <w:r>
        <w:t>Bilingual dictionaries are essential for cross-cultural communication and academic cooperation. However, existing Uzbek-German dictionaries are limited in terms of usability, interactivity, and corpus-based design.</w:t>
      </w:r>
    </w:p>
    <w:p>
      <w:pPr>
        <w:pStyle w:val="Heading1"/>
      </w:pPr>
      <w:r>
        <w:t>MAIN PART</w:t>
      </w:r>
    </w:p>
    <w:p>
      <w:r>
        <w:t>Modern digital lexicography requires flexible data models, corpus integration, audio and visual support, and collaborative user input. This paper outlines a blueprint for an intelligent, expandable lexicon platform that includes semantic search, educational modules, and cross-domain references.</w:t>
      </w:r>
    </w:p>
    <w:p>
      <w:pPr>
        <w:pStyle w:val="Heading1"/>
      </w:pPr>
      <w:r>
        <w:t>CONCLUSION</w:t>
      </w:r>
    </w:p>
    <w:p>
      <w:r>
        <w:t>An AI-powered and user-driven Uzbek-German dictionary will foster linguistic accessibility and promote cultural and academic exchange. Such systems are not only tools for translation but also platforms for learning and interdisciplinary research.</w:t>
      </w:r>
    </w:p>
    <w:p>
      <w:pPr>
        <w:pStyle w:val="Heading1"/>
      </w:pPr>
      <w:r>
        <w:t>References / Adabiyotlar / Literaturverzeichnis</w:t>
      </w:r>
    </w:p>
    <w:p>
      <w:pPr>
        <w:pStyle w:val="ListNumber"/>
      </w:pPr>
      <w:r>
        <w:t>1. Nesi, H. (1999). A user’s guide to electronic dictionaries for language learners. International Journal of Lexicography, 12(1), 55–66.</w:t>
      </w:r>
    </w:p>
    <w:p>
      <w:pPr>
        <w:pStyle w:val="ListNumber"/>
      </w:pPr>
      <w:r>
        <w:t>2. Hannesdóttir, A. H. (2015). What is a Target Language in an Electronic Dictionary? eLex2015 Conference.</w:t>
      </w:r>
    </w:p>
    <w:p>
      <w:pPr>
        <w:pStyle w:val="ListNumber"/>
      </w:pPr>
      <w:r>
        <w:t>3. Elektron, Onlayn, Ikki Tillik Ensiklopedik Lug'at-Tezaurus Yaratish: Texnologik Asoslar va Loyihani Amalga Oshirish Yo'llari. (2023).</w:t>
      </w:r>
    </w:p>
    <w:p>
      <w:pPr>
        <w:pStyle w:val="ListNumber"/>
      </w:pPr>
      <w:r>
        <w:t>4. Tomečková, M. (2009). Einige Bemerkungen zur Übersetzungstheorie und –praxis mit besonderer Berücksichtigung der Äquivalenz-Problematik. Masarykova Univerzita.</w:t>
      </w:r>
    </w:p>
    <w:p>
      <w:pPr>
        <w:pStyle w:val="ListNumber"/>
      </w:pPr>
      <w:r>
        <w:t>5. AMuSE Project (2013). Multilingualism as a Resource in New Teacher Education. Pädagogische Hochschule Wien.</w:t>
      </w:r>
    </w:p>
    <w:p>
      <w:pPr>
        <w:pStyle w:val="ListNumber"/>
      </w:pPr>
      <w:r>
        <w:t>6. eportfolio_vienna_final.pdf. (2013). Pädagogische Hochschule Wien &amp; EURAC.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