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Электронный тезаурус как новый этап в узбекско-немецкой лексикографии</w:t>
      </w:r>
    </w:p>
    <w:p>
      <w:r>
        <w:br/>
        <w:t>Аннотация</w:t>
        <w:br/>
        <w:t>В статье рассматривается состояние и перспективы узбекско-немецкой лексикографии с акцентом на необходимость перехода от классического словарестроения к электронному тезаурусу. Представлен историко-аналитический обзор существующих словарей, выявлены причины стагнации в постсоветский период, в том числе институциональные и технологические барьеры. Автор делится личным опытом работы над тезой в аспирантуре в 2003–2006 годах и обосновывает актуальность возвращения к теме с учётом современных цифровых и корпусных возможностей. Обосновывается выбор модели электронного тезауруса как ядра будущей мультиязычной лексикографической платформы Узбекистана.</w:t>
        <w:br/>
        <w:br/>
        <w:t>Ключевые слова</w:t>
        <w:br/>
        <w:t>узбекско-немецкий словарь, электронная лексикография, тезаурус, корпусный подход, перевод, цифровизация, Узбекистан, германистика, научный словарь, мультиязычие, Goethe-Institut, DW, цифровые гуманитарные науки</w:t>
        <w:br/>
        <w:br/>
        <w:t>[далее — основной текст статьи, как на холсте]</w:t>
        <w:br/>
        <w:br/>
        <w:t>Абдурашид Абдукаримов</w:t>
        <w:br/>
        <w:t>Ташкент,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