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Структура и модель узбекско-немецкого тезауруса: системность, тематизация, мультиязычие</w:t>
      </w:r>
    </w:p>
    <w:p>
      <w:r>
        <w:t>Аннотация</w:t>
        <w:br/>
        <w:t>В статье раскрывается концептуальная и архитектурная модель электронного тезауруса, разрабатываемого для узбекского и немецкого языков. Рассматриваются принципы тематической систематизации, онтологического моделирования, типологии лексических связей, а также вопросы мультиязычия и технической реализации. Приводятся примеры реализации доменов на основе частотности, гнездовых структур и корпусных данных. Обосновывается выбор гибкой, масштабируемой модели как основы для лексикографического и энциклопедичес...</w:t>
        <w:br/>
        <w:t>[...]</w:t>
        <w:br/>
        <w:t xml:space="preserve">&gt; Абдурашид Абдукаримов  </w:t>
        <w:br/>
        <w:t>&gt; Ташкент, 2025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