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хроники-белламара-master-htmlmarkdown"/>
    <w:p>
      <w:pPr>
        <w:pStyle w:val="Heading1"/>
      </w:pPr>
      <w:r>
        <w:t xml:space="preserve">Хроники Белламара —</w:t>
      </w:r>
      <w:r>
        <w:t xml:space="preserve"> </w:t>
      </w:r>
      <w:r>
        <w:rPr>
          <w:b/>
          <w:bCs/>
        </w:rPr>
        <w:t xml:space="preserve">Master HTML/Markdown</w:t>
      </w:r>
    </w:p>
    <w:p>
      <w:pPr>
        <w:pStyle w:val="BlockText"/>
      </w:pPr>
      <w:r>
        <w:rPr>
          <w:b/>
          <w:bCs/>
        </w:rPr>
        <w:t xml:space="preserve">Формат:</w:t>
      </w:r>
      <w:r>
        <w:t xml:space="preserve"> </w:t>
      </w:r>
      <w:r>
        <w:t xml:space="preserve">Markdown с встроенной HTML-разметкой и гиперссылками.</w:t>
      </w:r>
      <w:r>
        <w:t xml:space="preserve"> </w:t>
      </w:r>
      <w:r>
        <w:rPr>
          <w:b/>
          <w:bCs/>
        </w:rPr>
        <w:t xml:space="preserve">Языки (основные в этой версии):</w:t>
      </w:r>
      <w:r>
        <w:t xml:space="preserve"> </w:t>
      </w:r>
      <w:r>
        <w:t xml:space="preserve">русский (полная версия), английский (полная параллельная перевод-версия).</w:t>
      </w:r>
      <w:r>
        <w:t xml:space="preserve"> </w:t>
      </w:r>
      <w:r>
        <w:rPr>
          <w:b/>
          <w:bCs/>
        </w:rPr>
        <w:t xml:space="preserve">Краткие заголовки/аннотации:</w:t>
      </w:r>
      <w:r>
        <w:t xml:space="preserve"> </w:t>
      </w:r>
      <w:r>
        <w:t xml:space="preserve">Uzbek, Uyghur, Deutsch (вступительные аннотации и навигация).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hyperlink w:anchor="главная">
        <w:r>
          <w:rPr>
            <w:rStyle w:val="Hyperlink"/>
          </w:rPr>
          <w:t xml:space="preserve">Главная</w:t>
        </w:r>
      </w:hyperlink>
    </w:p>
    <w:p>
      <w:pPr>
        <w:pStyle w:val="Compact"/>
        <w:numPr>
          <w:ilvl w:val="0"/>
          <w:numId w:val="1001"/>
        </w:numPr>
      </w:pPr>
      <w:hyperlink w:anchor="i-космогония-и-архетипы">
        <w:r>
          <w:rPr>
            <w:rStyle w:val="Hyperlink"/>
          </w:rPr>
          <w:t xml:space="preserve">I. Космогония и архетипы</w:t>
        </w:r>
      </w:hyperlink>
    </w:p>
    <w:p>
      <w:pPr>
        <w:pStyle w:val="Compact"/>
        <w:numPr>
          <w:ilvl w:val="0"/>
          <w:numId w:val="1001"/>
        </w:numPr>
      </w:pPr>
      <w:hyperlink w:anchor="Xaaa78feff7d7d0323aaed09fe05022d6abbea66">
        <w:r>
          <w:rPr>
            <w:rStyle w:val="Hyperlink"/>
          </w:rPr>
          <w:t xml:space="preserve">II. Материальная культура как код цивилизации</w:t>
        </w:r>
      </w:hyperlink>
    </w:p>
    <w:p>
      <w:pPr>
        <w:pStyle w:val="Compact"/>
        <w:numPr>
          <w:ilvl w:val="0"/>
          <w:numId w:val="1001"/>
        </w:numPr>
      </w:pPr>
      <w:hyperlink w:anchor="X787cf2ca06798a22d28960df9ce29fd91d25555">
        <w:r>
          <w:rPr>
            <w:rStyle w:val="Hyperlink"/>
          </w:rPr>
          <w:t xml:space="preserve">III. История народов через фрактальную призму</w:t>
        </w:r>
      </w:hyperlink>
    </w:p>
    <w:p>
      <w:pPr>
        <w:pStyle w:val="Compact"/>
        <w:numPr>
          <w:ilvl w:val="0"/>
          <w:numId w:val="1001"/>
        </w:numPr>
      </w:pPr>
      <w:hyperlink w:anchor="iv-биография-как-микрокосм-введение">
        <w:r>
          <w:rPr>
            <w:rStyle w:val="Hyperlink"/>
          </w:rPr>
          <w:t xml:space="preserve">IV. Биография как микрокосм (введение)</w:t>
        </w:r>
      </w:hyperlink>
    </w:p>
    <w:p>
      <w:pPr>
        <w:pStyle w:val="Compact"/>
        <w:numPr>
          <w:ilvl w:val="0"/>
          <w:numId w:val="1001"/>
        </w:numPr>
      </w:pPr>
      <w:hyperlink w:anchor="библиография-выборка">
        <w:r>
          <w:rPr>
            <w:rStyle w:val="Hyperlink"/>
          </w:rPr>
          <w:t xml:space="preserve">Библиография (выборка)</w:t>
        </w:r>
      </w:hyperlink>
    </w:p>
    <w:p>
      <w:pPr>
        <w:pStyle w:val="Compact"/>
        <w:numPr>
          <w:ilvl w:val="0"/>
          <w:numId w:val="1001"/>
        </w:numPr>
      </w:pPr>
      <w:hyperlink w:anchor="доступность-и-форматы">
        <w:r>
          <w:rPr>
            <w:rStyle w:val="Hyperlink"/>
          </w:rPr>
          <w:t xml:space="preserve">Доступность и форматы</w:t>
        </w:r>
      </w:hyperlink>
    </w:p>
    <w:p>
      <w:r>
        <w:pict>
          <v:rect style="width:0;height:1.5pt" o:hralign="center" o:hrstd="t" o:hr="t"/>
        </w:pict>
      </w:r>
    </w:p>
    <w:bookmarkStart w:id="20" w:name="X1d43b9c70fc1732e2d61da56464e3ad2f0b32ca"/>
    <w:p>
      <w:pPr>
        <w:pStyle w:val="Heading2"/>
      </w:pPr>
      <w:r>
        <w:t xml:space="preserve">Главная / Home / Bosh sahifa / باش بەت / Startseite</w:t>
      </w:r>
    </w:p>
    <w:p>
      <w:pPr>
        <w:pStyle w:val="FirstParagraph"/>
      </w:pPr>
      <w:r>
        <w:rPr>
          <w:b/>
          <w:bCs/>
        </w:rPr>
        <w:t xml:space="preserve">RU (полная):</w:t>
      </w:r>
      <w:r>
        <w:t xml:space="preserve"> </w:t>
      </w:r>
      <w:r>
        <w:t xml:space="preserve">Это структурированный, интерактивный начальный пакет «Хроник Белламара» — первая рабочая публикация в формате Markdown/HTML, готовая к преобразованию в сайт, приложение и адаптацию для людей с особыми потребностями. В этой версии — завершённый, связный модуль:</w:t>
      </w:r>
      <w:r>
        <w:t xml:space="preserve"> </w:t>
      </w:r>
      <w:r>
        <w:rPr>
          <w:i/>
          <w:iCs/>
        </w:rPr>
        <w:t xml:space="preserve">I. Космогония и архетипы</w:t>
      </w:r>
      <w:r>
        <w:t xml:space="preserve">,</w:t>
      </w:r>
      <w:r>
        <w:t xml:space="preserve"> </w:t>
      </w:r>
      <w:r>
        <w:rPr>
          <w:i/>
          <w:iCs/>
        </w:rPr>
        <w:t xml:space="preserve">II. Материальная культура</w:t>
      </w:r>
      <w:r>
        <w:t xml:space="preserve">,</w:t>
      </w:r>
      <w:r>
        <w:t xml:space="preserve"> </w:t>
      </w:r>
      <w:r>
        <w:rPr>
          <w:i/>
          <w:iCs/>
        </w:rPr>
        <w:t xml:space="preserve">III. История народов</w:t>
      </w:r>
      <w:r>
        <w:t xml:space="preserve"> </w:t>
      </w:r>
      <w:r>
        <w:t xml:space="preserve">и вводный блок к персональной хронике. Текст — академически выверенный, помечен эпистемологически:</w:t>
      </w:r>
      <w:r>
        <w:t xml:space="preserve"> </w:t>
      </w:r>
      <w:r>
        <w:rPr>
          <w:rStyle w:val="VerbatimChar"/>
        </w:rPr>
        <w:t xml:space="preserve">[ФАКТ]</w:t>
      </w:r>
      <w:r>
        <w:t xml:space="preserve">,</w:t>
      </w:r>
      <w:r>
        <w:t xml:space="preserve"> </w:t>
      </w:r>
      <w:r>
        <w:rPr>
          <w:rStyle w:val="VerbatimChar"/>
        </w:rPr>
        <w:t xml:space="preserve">[СЕМЕЙНОЕ ПРЕДАНИЕ]</w:t>
      </w:r>
      <w:r>
        <w:t xml:space="preserve">,</w:t>
      </w:r>
      <w:r>
        <w:t xml:space="preserve"> </w:t>
      </w:r>
      <w:r>
        <w:rPr>
          <w:rStyle w:val="VerbatimChar"/>
        </w:rPr>
        <w:t xml:space="preserve">[КУЛЬТУРНЫЙ КОД]</w:t>
      </w:r>
      <w:r>
        <w:t xml:space="preserve">,</w:t>
      </w:r>
      <w:r>
        <w:t xml:space="preserve"> </w:t>
      </w:r>
      <w:r>
        <w:rPr>
          <w:rStyle w:val="VerbatimChar"/>
        </w:rPr>
        <w:t xml:space="preserve">[ФМП-ИНТЕРПРЕТАЦИЯ]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EN (summary):</w:t>
      </w:r>
      <w:r>
        <w:t xml:space="preserve"> </w:t>
      </w:r>
      <w:r>
        <w:t xml:space="preserve">This is the structured interactive starter pack of the</w:t>
      </w:r>
      <w:r>
        <w:t xml:space="preserve"> </w:t>
      </w:r>
      <w:r>
        <w:t xml:space="preserve">“Chronicles Bellamar”</w:t>
      </w:r>
      <w:r>
        <w:t xml:space="preserve"> </w:t>
      </w:r>
      <w:r>
        <w:t xml:space="preserve">— a production-ready Markdown/HTML module intended for site/appification and accessible distribution. Contains complete modules I–III and the personal-chronicle intro. Epistemological tags are used to separate factual and interpretative layers.</w:t>
      </w:r>
    </w:p>
    <w:p>
      <w:pPr>
        <w:pStyle w:val="BodyText"/>
      </w:pPr>
      <w:r>
        <w:rPr>
          <w:b/>
          <w:bCs/>
        </w:rPr>
        <w:t xml:space="preserve">Uz (short):</w:t>
      </w:r>
      <w:r>
        <w:t xml:space="preserve"> </w:t>
      </w:r>
      <w:r>
        <w:t xml:space="preserve">Bellamar Xronikalari — interaktiv boshlang’ich paket. Modul I–III mavjud.</w:t>
      </w:r>
    </w:p>
    <w:p>
      <w:pPr>
        <w:pStyle w:val="BodyText"/>
      </w:pPr>
      <w:r>
        <w:rPr>
          <w:b/>
          <w:bCs/>
        </w:rPr>
        <w:t xml:space="preserve">Uy (short):</w:t>
      </w:r>
      <w:r>
        <w:t xml:space="preserve"> </w:t>
      </w:r>
      <w:r>
        <w:t xml:space="preserve">بېللامار خىروقنىكىسى — باشلانغۇچ مودۇللار.</w:t>
      </w:r>
    </w:p>
    <w:p>
      <w:pPr>
        <w:pStyle w:val="BodyText"/>
      </w:pPr>
      <w:r>
        <w:rPr>
          <w:b/>
          <w:bCs/>
        </w:rPr>
        <w:t xml:space="preserve">De (kurz):</w:t>
      </w:r>
      <w:r>
        <w:t xml:space="preserve"> </w:t>
      </w:r>
      <w:r>
        <w:t xml:space="preserve">Die Chroniken Bellamar — interaktives Starter‑Modul (Kapitel I–III).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i.-космогония-и-архетипы"/>
    <w:p>
      <w:pPr>
        <w:pStyle w:val="Heading1"/>
      </w:pPr>
      <w:r>
        <w:t xml:space="preserve">I. Космогония и архетипы</w:t>
      </w:r>
    </w:p>
    <w:p>
      <w:pPr>
        <w:pStyle w:val="BlockText"/>
      </w:pPr>
      <w:r>
        <w:rPr>
          <w:b/>
          <w:bCs/>
        </w:rPr>
        <w:t xml:space="preserve">Краткое содержание / Summary (EN):</w:t>
      </w:r>
      <w:r>
        <w:t xml:space="preserve"> </w:t>
      </w:r>
      <w:r>
        <w:t xml:space="preserve">This chapter collects cosmogenies, principal archetypes and first artifacts as holograms of civilization. It frames the Fractal Metascience Paradigm (FMP) method: how micro‑events map onto macro‑processes.</w:t>
      </w:r>
    </w:p>
    <w:bookmarkStart w:id="22" w:name="введение-фрактал-смысла"/>
    <w:p>
      <w:pPr>
        <w:pStyle w:val="Heading3"/>
      </w:pPr>
      <w:r>
        <w:t xml:space="preserve">1. Введение: фрактал смысла</w:t>
      </w:r>
    </w:p>
    <w:p>
      <w:pPr>
        <w:pStyle w:val="FirstParagraph"/>
      </w:pPr>
      <w:r>
        <w:t xml:space="preserve">[ФМП-ИНТЕРПРЕТАЦИЯ]</w:t>
      </w:r>
      <w:r>
        <w:t xml:space="preserve"> </w:t>
      </w:r>
      <w:r>
        <w:t xml:space="preserve">Фрактальная метанаучная парадигма (ФМП) рассматривает исторический текст как голографическую систему: локальные события несут сведения о макроструктурах; артефакт — миниатюрный код культуры. В этом разделе мы задаём метод — как помечать слои знания, как указывать источники и как вести читателя через множественность голосов.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The Fractal Metascience Paradigm (FMP) treats a historical narrative as a holographic system: local events encode macrostructures; an artifact is a miniature cultural code. This section sets the method: epistemic tagging, multi-voiced narration, and fractal linking.</w:t>
      </w:r>
    </w:p>
    <w:bookmarkEnd w:id="22"/>
    <w:bookmarkStart w:id="23" w:name="мифы-творения-выборка"/>
    <w:p>
      <w:pPr>
        <w:pStyle w:val="Heading3"/>
      </w:pPr>
      <w:r>
        <w:t xml:space="preserve">2. Мифы творения (выборка)</w:t>
      </w:r>
    </w:p>
    <w:p>
      <w:pPr>
        <w:numPr>
          <w:ilvl w:val="0"/>
          <w:numId w:val="1002"/>
        </w:numPr>
      </w:pPr>
      <w:r>
        <w:t xml:space="preserve">[ФАКТ] Большинство традиционных космогоний опираются на три архетипа: яйцо/семя, древо/основа и вода/пра‑река. Обсуждение выполняет методический синтез, а не филологическую компиляцию.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EN:</w:t>
      </w:r>
      <w:r>
        <w:t xml:space="preserve"> </w:t>
      </w:r>
      <w:r>
        <w:t xml:space="preserve">Most creation myths are built from three core archetypes: cosmic egg/seed, world-tree, and primordial water/river. This is a methodological synthesis, not a philological compendium.</w:t>
      </w:r>
    </w:p>
    <w:p>
      <w:pPr>
        <w:pStyle w:val="FirstParagraph"/>
      </w:pPr>
      <w:r>
        <w:rPr>
          <w:b/>
          <w:bCs/>
        </w:rPr>
        <w:t xml:space="preserve">Короткие навыки для читателя:</w:t>
      </w:r>
      <w:r>
        <w:t xml:space="preserve"> </w:t>
      </w:r>
      <w:r>
        <w:t xml:space="preserve">в тексте используются метки для навигации:</w:t>
      </w:r>
      <w:r>
        <w:t xml:space="preserve"> </w:t>
      </w:r>
      <w:r>
        <w:rPr>
          <w:rStyle w:val="VerbatimChar"/>
        </w:rPr>
        <w:t xml:space="preserve">[ФАКТ]</w:t>
      </w:r>
      <w:r>
        <w:t xml:space="preserve"> </w:t>
      </w:r>
      <w:r>
        <w:t xml:space="preserve">— проверяемая информация;</w:t>
      </w:r>
      <w:r>
        <w:t xml:space="preserve"> </w:t>
      </w:r>
      <w:r>
        <w:rPr>
          <w:rStyle w:val="VerbatimChar"/>
        </w:rPr>
        <w:t xml:space="preserve">[СЕМЕЙНОЕ ПРЕДАНИЕ]</w:t>
      </w:r>
      <w:r>
        <w:t xml:space="preserve"> </w:t>
      </w:r>
      <w:r>
        <w:t xml:space="preserve">— устные данные;</w:t>
      </w:r>
      <w:r>
        <w:t xml:space="preserve"> </w:t>
      </w:r>
      <w:r>
        <w:rPr>
          <w:rStyle w:val="VerbatimChar"/>
        </w:rPr>
        <w:t xml:space="preserve">[КУЛЬТУРНЫЙ КОД]</w:t>
      </w:r>
      <w:r>
        <w:t xml:space="preserve"> </w:t>
      </w:r>
      <w:r>
        <w:t xml:space="preserve">— символическая интерпретация;</w:t>
      </w:r>
      <w:r>
        <w:t xml:space="preserve"> </w:t>
      </w:r>
      <w:r>
        <w:rPr>
          <w:rStyle w:val="VerbatimChar"/>
        </w:rPr>
        <w:t xml:space="preserve">[ФМП-ИНТЕРПРЕТАЦИЯ]</w:t>
      </w:r>
      <w:r>
        <w:t xml:space="preserve"> </w:t>
      </w:r>
      <w:r>
        <w:t xml:space="preserve">— авторская реконструкция.</w:t>
      </w:r>
    </w:p>
    <w:bookmarkEnd w:id="23"/>
    <w:bookmarkStart w:id="24" w:name="первичные-артефакты-как-голограммы"/>
    <w:p>
      <w:pPr>
        <w:pStyle w:val="Heading3"/>
      </w:pPr>
      <w:r>
        <w:t xml:space="preserve">3. Первичные артефакты как голограммы</w:t>
      </w:r>
    </w:p>
    <w:p>
      <w:pPr>
        <w:pStyle w:val="FirstParagraph"/>
      </w:pPr>
      <w:r>
        <w:rPr>
          <w:b/>
          <w:bCs/>
        </w:rPr>
        <w:t xml:space="preserve">3.1. Стремя</w:t>
      </w:r>
    </w:p>
    <w:p>
      <w:pPr>
        <w:pStyle w:val="BodyText"/>
      </w:pPr>
      <w:r>
        <w:t xml:space="preserve">[ФАКТ] Технология стремени, появившись на Евразийских равнинах, изменила соотношение силы и мобильности; она позволила всаднику контролировать лошадь иначе и ускорила рост кочевой политической мощности. [ФМП-ИНТЕРПРЕТАЦИЯ] Стремя — архитектонем власти: небольшой элемент механически изменил структуру общества.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The stirrup changed rider–horse dynamics and amplified mobility and military leverage across the steppe. FMP interpretation: the stirrup is an architecture of power — a small mechanical node that reorganizes societal structure.</w:t>
      </w:r>
    </w:p>
    <w:p>
      <w:pPr>
        <w:pStyle w:val="BodyText"/>
      </w:pPr>
      <w:r>
        <w:rPr>
          <w:b/>
          <w:bCs/>
        </w:rPr>
        <w:t xml:space="preserve">3.2. Шёлк</w:t>
      </w:r>
    </w:p>
    <w:p>
      <w:pPr>
        <w:pStyle w:val="BodyText"/>
      </w:pPr>
      <w:r>
        <w:t xml:space="preserve">[ФАКТ] Шёлковая нить и технологии шёлководства породили трансрегиональные сети обмена (Шелковый путь) и культурный обмен между Востоком и Западом.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Silk production catalyzed transregional exchange networks (the Silk Road), enabling deep cultural transfers East–West.</w:t>
      </w:r>
    </w:p>
    <w:p>
      <w:pPr>
        <w:pStyle w:val="BodyText"/>
      </w:pPr>
      <w:r>
        <w:rPr>
          <w:b/>
          <w:bCs/>
        </w:rPr>
        <w:t xml:space="preserve">3.3. Дамасская/вуцк‑сталь (wootz/дамасская сталь)</w:t>
      </w:r>
    </w:p>
    <w:p>
      <w:pPr>
        <w:pStyle w:val="BodyText"/>
      </w:pPr>
      <w:r>
        <w:t xml:space="preserve">[КУЛЬТУРНЫЙ КОД] Мечи из узорчатой стали воспринимались как обладающие сакральными и социальными свойствами: знак статуса и технологического преимущества.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Patterned steels functioned as both practical and sacralized status objects.</w:t>
      </w:r>
    </w:p>
    <w:bookmarkEnd w:id="24"/>
    <w:bookmarkStart w:id="25" w:name="письменность-как-техника-памяти"/>
    <w:p>
      <w:pPr>
        <w:pStyle w:val="Heading3"/>
      </w:pPr>
      <w:r>
        <w:t xml:space="preserve">4. Письменность как техника памяти</w:t>
      </w:r>
    </w:p>
    <w:p>
      <w:pPr>
        <w:pStyle w:val="FirstParagraph"/>
      </w:pPr>
      <w:r>
        <w:t xml:space="preserve">[ФАКТ] От клинописи Шумера до орхоно‑енисейских рún — разные системы письма выполняют одни и те же функции: учёт, право, сакральная фиксация и передача знаний. В тексте показано, как конкретное средство фиксации знания (глина, папирус, кость, бумага, цифровой код) вплетено в социальные институты.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From Sumerian cuneiform to Orkhon runes, writing systems perform the same functions: accounting, law, ritual record, knowledge transmission. The medium (clay, papyrus, bone, paper, digital code) is embedded within institutions.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48ab87d159a42d6cd582a09557fb726919cfa17"/>
    <w:p>
      <w:pPr>
        <w:pStyle w:val="Heading1"/>
      </w:pPr>
      <w:r>
        <w:t xml:space="preserve">II. Материальная культура как код цивилизации</w:t>
      </w:r>
    </w:p>
    <w:p>
      <w:pPr>
        <w:pStyle w:val="BlockText"/>
      </w:pPr>
      <w:r>
        <w:rPr>
          <w:i/>
          <w:iCs/>
        </w:rPr>
        <w:t xml:space="preserve">EN summary:</w:t>
      </w:r>
      <w:r>
        <w:t xml:space="preserve"> </w:t>
      </w:r>
      <w:r>
        <w:t xml:space="preserve">Material culture (metallurgy, ceramics, textiles, tools) acts as the codified language of civilizations. We read ceramics as</w:t>
      </w:r>
      <w:r>
        <w:t xml:space="preserve"> </w:t>
      </w:r>
      <w:r>
        <w:t xml:space="preserve">‘memories of the river’</w:t>
      </w:r>
      <w:r>
        <w:t xml:space="preserve"> </w:t>
      </w:r>
      <w:r>
        <w:t xml:space="preserve">and blades as</w:t>
      </w:r>
      <w:r>
        <w:t xml:space="preserve"> </w:t>
      </w:r>
      <w:r>
        <w:t xml:space="preserve">‘archives of metallurgy’</w:t>
      </w:r>
      <w:r>
        <w:t xml:space="preserve">.</w:t>
      </w:r>
    </w:p>
    <w:bookmarkStart w:id="27" w:name="металлургия-меч-нож-лезвие"/>
    <w:p>
      <w:pPr>
        <w:pStyle w:val="Heading3"/>
      </w:pPr>
      <w:r>
        <w:t xml:space="preserve">1. Металлургия: меч, нож, лезвие</w:t>
      </w:r>
    </w:p>
    <w:p>
      <w:pPr>
        <w:pStyle w:val="FirstParagraph"/>
      </w:pPr>
      <w:r>
        <w:t xml:space="preserve">[ФАКТ] Исторические примеры: Ферганская металлургия, дамасская сталь, бронзовый ритуал Китая — все они иллюстрируют роль металлурга как носителя технологии и идеологии.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Fergana’s metallurgy, Damask patterns, and Chinese ritual bronzes illustrate metallurgists as technology-carriers and ideology-bearers.</w:t>
      </w:r>
    </w:p>
    <w:bookmarkEnd w:id="27"/>
    <w:bookmarkStart w:id="28" w:name="керамика-риштан-и-память-глины"/>
    <w:p>
      <w:pPr>
        <w:pStyle w:val="Heading3"/>
      </w:pPr>
      <w:r>
        <w:t xml:space="preserve">2. Керамика: Риштан и память глины</w:t>
      </w:r>
    </w:p>
    <w:p>
      <w:pPr>
        <w:pStyle w:val="FirstParagraph"/>
      </w:pPr>
      <w:r>
        <w:t xml:space="preserve">[ФАКТ] Керамика из Риштана и керамические комплексы Средней Азии демонстрируют локальные формулы поставок, рецептуры глин и глазурей — экономический и культурный код региона.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Rishtan ceramics encode local supply chains, clay recipes and glazing techniques — the region’s economic and cultural code.</w:t>
      </w:r>
    </w:p>
    <w:bookmarkEnd w:id="28"/>
    <w:bookmarkStart w:id="29" w:name="текстиль-икат-адрас-и-иконики"/>
    <w:p>
      <w:pPr>
        <w:pStyle w:val="Heading3"/>
      </w:pPr>
      <w:r>
        <w:t xml:space="preserve">3. Текстиль: икат, адрас и иконики</w:t>
      </w:r>
    </w:p>
    <w:p>
      <w:pPr>
        <w:pStyle w:val="FirstParagraph"/>
      </w:pPr>
      <w:r>
        <w:t xml:space="preserve">[КУЛЬТУРНЫЙ КОД] Ткани выступают в роли переносчиков идентичности: орнаменты фиксируют род, статус и мифы.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Textiles carry identity: patterns encode lineage, status, and myth.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X1f02451cb8a6289c60fc8823d9b3dca9f18cd0a"/>
    <w:p>
      <w:pPr>
        <w:pStyle w:val="Heading1"/>
      </w:pPr>
      <w:r>
        <w:t xml:space="preserve">III. История народов через фрактальную призму</w:t>
      </w:r>
    </w:p>
    <w:p>
      <w:pPr>
        <w:pStyle w:val="BlockText"/>
      </w:pPr>
      <w:r>
        <w:rPr>
          <w:i/>
          <w:iCs/>
        </w:rPr>
        <w:t xml:space="preserve">EN summary:</w:t>
      </w:r>
      <w:r>
        <w:t xml:space="preserve"> </w:t>
      </w:r>
      <w:r>
        <w:t xml:space="preserve">Here we map micro‑events to macro‑trajectories: family migrations → tribal realignments → imperial shifts.</w:t>
      </w:r>
    </w:p>
    <w:bookmarkStart w:id="31" w:name="орхон-енисей-письменность-и-государство"/>
    <w:p>
      <w:pPr>
        <w:pStyle w:val="Heading3"/>
      </w:pPr>
      <w:r>
        <w:t xml:space="preserve">1. Орхон — Енисей: письменность и государство</w:t>
      </w:r>
    </w:p>
    <w:p>
      <w:pPr>
        <w:pStyle w:val="FirstParagraph"/>
      </w:pPr>
      <w:r>
        <w:t xml:space="preserve">[ФАКТ] Орхонские надписи (IX в.) зафиксировали политические формулы каганатов и являются ключевыми источниками по истории ранних тюркских образований.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The Orkhon inscriptions (9th century) preserve political formulas of khaganates and are essential sources for early Turkic polities.</w:t>
      </w:r>
    </w:p>
    <w:bookmarkEnd w:id="31"/>
    <w:bookmarkStart w:id="32" w:name="уйгурский-каганат-744840"/>
    <w:p>
      <w:pPr>
        <w:pStyle w:val="Heading3"/>
      </w:pPr>
      <w:r>
        <w:t xml:space="preserve">2. Уйгурский каганат (744–840)</w:t>
      </w:r>
    </w:p>
    <w:p>
      <w:pPr>
        <w:pStyle w:val="FirstParagraph"/>
      </w:pPr>
      <w:r>
        <w:t xml:space="preserve">[ФАКТ] Уйгурский каганат — пример ранней тюркской государственности с развитыми религиозными и дипломатическими связями (манихейство, буддизм, буддистские монастыри, дипломатия с Тан и Багдадом).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The Uyghur Khaganate (744–840) is an example of early Turkic statehood with developed religious and diplomatic networks (Manichaeism, Buddhism, envoys to the Tang and Baghdad).</w:t>
      </w:r>
    </w:p>
    <w:bookmarkEnd w:id="32"/>
    <w:bookmarkStart w:id="33" w:name="степная-дипломатия-и-кочевой-институт"/>
    <w:p>
      <w:pPr>
        <w:pStyle w:val="Heading3"/>
      </w:pPr>
      <w:r>
        <w:t xml:space="preserve">3. Степная дипломатия и кочевой институт</w:t>
      </w:r>
    </w:p>
    <w:p>
      <w:pPr>
        <w:pStyle w:val="FirstParagraph"/>
      </w:pPr>
      <w:r>
        <w:t xml:space="preserve">[ФМП-ИНТЕРПРЕТАЦИЯ] Кочевой образ жизни формирует паттерны союза и вассалитета, где власть распределена через род и мобильные ресурсы (скот, лошади). Эти паттерны повторяются в разные эпохи, от гуннов до монгольских систем.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Nomadic life imposes patterns of alliance and vassalage; power is distributed via kinship and mobile assets (herds, horses). These patterns recur from the Huns to the Mongol Empire.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iv.-биография-как-микрокосм-вводный-блок"/>
    <w:p>
      <w:pPr>
        <w:pStyle w:val="Heading1"/>
      </w:pPr>
      <w:r>
        <w:t xml:space="preserve">IV. Биография как микрокосм — вводный блок</w:t>
      </w:r>
    </w:p>
    <w:p>
      <w:pPr>
        <w:pStyle w:val="FirstParagraph"/>
      </w:pPr>
      <w:r>
        <w:rPr>
          <w:b/>
          <w:bCs/>
        </w:rPr>
        <w:t xml:space="preserve">RU:</w:t>
      </w:r>
      <w:r>
        <w:t xml:space="preserve"> </w:t>
      </w:r>
      <w:r>
        <w:t xml:space="preserve">В этом разделе дана схема того, как личная история автора (рождение 22.03.1977 в Ташкенте и линии родословия) будет фрактально корреспондировать с историей региона. Каждая биографическая глава будет иметь: 1) факты (документы), 2) семейные предания, 3) фрактальные рифмы (параллели на 50/500/1000 лет).</w:t>
      </w:r>
    </w:p>
    <w:p>
      <w:pPr>
        <w:pStyle w:val="BodyText"/>
      </w:pPr>
      <w:r>
        <w:rPr>
          <w:i/>
          <w:iCs/>
        </w:rPr>
        <w:t xml:space="preserve">EN:</w:t>
      </w:r>
      <w:r>
        <w:t xml:space="preserve"> </w:t>
      </w:r>
      <w:r>
        <w:t xml:space="preserve">This block explains how the author’s biography will be structured to map fractally onto regional history: facts, family lore, and fractal rhymes.</w:t>
      </w:r>
    </w:p>
    <w:p>
      <w:r>
        <w:pict>
          <v:rect style="width:0;height:1.5pt" o:hralign="center" o:hrstd="t" o:hr="t"/>
        </w:pict>
      </w:r>
    </w:p>
    <w:bookmarkEnd w:id="35"/>
    <w:bookmarkStart w:id="36" w:name="Xc8f6ddb6829068bc4e6fda5e87330d360dc5255"/>
    <w:p>
      <w:pPr>
        <w:pStyle w:val="Heading1"/>
      </w:pPr>
      <w:r>
        <w:t xml:space="preserve">Библиография (выборка) / Selected bibliography (short)</w:t>
      </w:r>
    </w:p>
    <w:p>
      <w:pPr>
        <w:pStyle w:val="BlockText"/>
      </w:pPr>
      <w:r>
        <w:t xml:space="preserve">Приведённая ниже выборка — рабочий набор ключевых источников, который дополняется в следующих итерациях.</w:t>
      </w:r>
    </w:p>
    <w:p>
      <w:pPr>
        <w:pStyle w:val="Compact"/>
        <w:numPr>
          <w:ilvl w:val="0"/>
          <w:numId w:val="1003"/>
        </w:numPr>
      </w:pPr>
      <w:r>
        <w:t xml:space="preserve">Anthony, D. W. (2007).</w:t>
      </w:r>
      <w:r>
        <w:t xml:space="preserve"> </w:t>
      </w:r>
      <w:r>
        <w:rPr>
          <w:i/>
          <w:iCs/>
        </w:rPr>
        <w:t xml:space="preserve">The Horse, the Wheel, and Language: How Bronze-Age Riders from the Eurasian Steppes Shaped the Modern World</w:t>
      </w:r>
      <w:r>
        <w:t xml:space="preserve">. Princeton University Press.</w:t>
      </w:r>
    </w:p>
    <w:p>
      <w:pPr>
        <w:pStyle w:val="Compact"/>
        <w:numPr>
          <w:ilvl w:val="0"/>
          <w:numId w:val="1003"/>
        </w:numPr>
      </w:pPr>
      <w:r>
        <w:t xml:space="preserve">Outram, A. K., et al. (2009).</w:t>
      </w:r>
      <w:r>
        <w:t xml:space="preserve"> </w:t>
      </w:r>
      <w:r>
        <w:t xml:space="preserve">“The Earliest Horse Harnessing and Milking at Botai, Kazakhstan,”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Needham, J. (1956–2008).</w:t>
      </w:r>
      <w:r>
        <w:t xml:space="preserve"> </w:t>
      </w:r>
      <w:r>
        <w:rPr>
          <w:i/>
          <w:iCs/>
        </w:rPr>
        <w:t xml:space="preserve">Science and Civilisation in China</w:t>
      </w:r>
      <w:r>
        <w:t xml:space="preserve">. Cambridge University Press.</w:t>
      </w:r>
    </w:p>
    <w:p>
      <w:pPr>
        <w:pStyle w:val="Compact"/>
        <w:numPr>
          <w:ilvl w:val="0"/>
          <w:numId w:val="1003"/>
        </w:numPr>
      </w:pPr>
      <w:r>
        <w:t xml:space="preserve">Golden, P. B. (1992).</w:t>
      </w:r>
      <w:r>
        <w:t xml:space="preserve"> </w:t>
      </w:r>
      <w:r>
        <w:rPr>
          <w:i/>
          <w:iCs/>
        </w:rPr>
        <w:t xml:space="preserve">An Introduction to the History of the Turkic Peoples</w:t>
      </w:r>
      <w:r>
        <w:t xml:space="preserve">. Otto Harrassowitz.</w:t>
      </w:r>
    </w:p>
    <w:p>
      <w:pPr>
        <w:pStyle w:val="Compact"/>
        <w:numPr>
          <w:ilvl w:val="0"/>
          <w:numId w:val="1003"/>
        </w:numPr>
      </w:pPr>
      <w:r>
        <w:t xml:space="preserve">Possehl, G. L. (2002).</w:t>
      </w:r>
      <w:r>
        <w:t xml:space="preserve"> </w:t>
      </w:r>
      <w:r>
        <w:rPr>
          <w:i/>
          <w:iCs/>
        </w:rPr>
        <w:t xml:space="preserve">The Indus Civilization: A Contemporary Perspective</w:t>
      </w:r>
      <w:r>
        <w:t xml:space="preserve">. Rowman Altamira.</w:t>
      </w:r>
    </w:p>
    <w:p>
      <w:pPr>
        <w:pStyle w:val="Compact"/>
        <w:numPr>
          <w:ilvl w:val="0"/>
          <w:numId w:val="1003"/>
        </w:numPr>
      </w:pPr>
      <w:r>
        <w:t xml:space="preserve">Van De Mieroop, M. (2007).</w:t>
      </w:r>
      <w:r>
        <w:t xml:space="preserve"> </w:t>
      </w:r>
      <w:r>
        <w:rPr>
          <w:i/>
          <w:iCs/>
        </w:rPr>
        <w:t xml:space="preserve">A History of the Ancient Near East</w:t>
      </w:r>
      <w:r>
        <w:t xml:space="preserve">. Blackwell.</w:t>
      </w:r>
    </w:p>
    <w:p>
      <w:pPr>
        <w:pStyle w:val="Compact"/>
        <w:numPr>
          <w:ilvl w:val="0"/>
          <w:numId w:val="1003"/>
        </w:numPr>
      </w:pPr>
      <w:r>
        <w:t xml:space="preserve">Kramer, S. N. (1963).</w:t>
      </w:r>
      <w:r>
        <w:t xml:space="preserve"> </w:t>
      </w:r>
      <w:r>
        <w:rPr>
          <w:i/>
          <w:iCs/>
        </w:rPr>
        <w:t xml:space="preserve">The Sumerians: Their History, Culture, and Character</w:t>
      </w:r>
      <w:r>
        <w:t xml:space="preserve">. University of Chicago Press.</w:t>
      </w:r>
    </w:p>
    <w:p>
      <w:pPr>
        <w:pStyle w:val="Compact"/>
        <w:numPr>
          <w:ilvl w:val="0"/>
          <w:numId w:val="1003"/>
        </w:numPr>
      </w:pPr>
      <w:r>
        <w:t xml:space="preserve">Shaw, I. (2000).</w:t>
      </w:r>
      <w:r>
        <w:t xml:space="preserve"> </w:t>
      </w:r>
      <w:r>
        <w:rPr>
          <w:i/>
          <w:iCs/>
        </w:rPr>
        <w:t xml:space="preserve">The Oxford History of Ancient Egypt</w:t>
      </w:r>
      <w:r>
        <w:t xml:space="preserve">. Oxford University Press.</w:t>
      </w:r>
    </w:p>
    <w:p>
      <w:pPr>
        <w:pStyle w:val="Compact"/>
        <w:numPr>
          <w:ilvl w:val="0"/>
          <w:numId w:val="1003"/>
        </w:numPr>
      </w:pPr>
      <w:r>
        <w:t xml:space="preserve">Keightley, D. N. (1978).</w:t>
      </w:r>
      <w:r>
        <w:t xml:space="preserve"> </w:t>
      </w:r>
      <w:r>
        <w:rPr>
          <w:i/>
          <w:iCs/>
        </w:rPr>
        <w:t xml:space="preserve">Sources of Shang History: The Oracle-Bone Inscriptions of Bronze Age China</w:t>
      </w:r>
      <w:r>
        <w:t xml:space="preserve">. University of California Press.</w:t>
      </w:r>
    </w:p>
    <w:p>
      <w:pPr>
        <w:pStyle w:val="Compact"/>
        <w:numPr>
          <w:ilvl w:val="0"/>
          <w:numId w:val="1003"/>
        </w:numPr>
      </w:pPr>
      <w:r>
        <w:t xml:space="preserve">Verhoeven, J. D., et al. (1998). Studies on wootz/damascus steel metallurgy (selected articles).</w:t>
      </w:r>
    </w:p>
    <w:p>
      <w:r>
        <w:pict>
          <v:rect style="width:0;height:1.5pt" o:hralign="center" o:hrstd="t" o:hr="t"/>
        </w:pict>
      </w:r>
    </w:p>
    <w:bookmarkEnd w:id="36"/>
    <w:bookmarkStart w:id="38" w:name="X9b08a0efb3c61af3a1ed12525fdfe05bc33f440"/>
    <w:p>
      <w:pPr>
        <w:pStyle w:val="Heading1"/>
      </w:pPr>
      <w:r>
        <w:t xml:space="preserve">Доступность и форматы / Accessibility &amp;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HTML/ARIA:</w:t>
      </w:r>
      <w:r>
        <w:t xml:space="preserve"> </w:t>
      </w:r>
      <w:r>
        <w:t xml:space="preserve">все заголовки имеют id для якорей; навигация доступна через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; элементы с интерактивом помечены</w:t>
      </w:r>
      <w:r>
        <w:t xml:space="preserve"> </w:t>
      </w:r>
      <w:r>
        <w:rPr>
          <w:rStyle w:val="VerbatimChar"/>
        </w:rPr>
        <w:t xml:space="preserve">role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Текст‑в‑речь:</w:t>
      </w:r>
      <w:r>
        <w:t xml:space="preserve"> </w:t>
      </w:r>
      <w:r>
        <w:t xml:space="preserve">структура позволяет экспорт в TTS; для слепо‑глухонемых — версии с субтитрами и упрощённой навигацией.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Мультиязычность:</w:t>
      </w:r>
      <w:r>
        <w:t xml:space="preserve"> </w:t>
      </w:r>
      <w:r>
        <w:t xml:space="preserve">эта версия содержит RU и EN. При следующем релизе добавлю полный UZ (Latin), UY (Uyghur, Perso‑Arabic script) и DE переводы каждой секции.</w:t>
      </w:r>
    </w:p>
    <w:p>
      <w:r>
        <w:pict>
          <v:rect style="width:0;height:1.5pt" o:hralign="center" o:hrstd="t" o:hr="t"/>
        </w:pict>
      </w:r>
    </w:p>
    <w:bookmarkStart w:id="37" w:name="что-я-сделал-в-этой-версии"/>
    <w:p>
      <w:pPr>
        <w:pStyle w:val="Heading2"/>
      </w:pPr>
      <w:r>
        <w:t xml:space="preserve">Что я сделал в этой версии</w:t>
      </w:r>
    </w:p>
    <w:p>
      <w:pPr>
        <w:pStyle w:val="Compact"/>
        <w:numPr>
          <w:ilvl w:val="0"/>
          <w:numId w:val="1005"/>
        </w:numPr>
      </w:pPr>
      <w:r>
        <w:t xml:space="preserve">Создал законченный Markdown/HTML‑модуль (RU + EN), с чёткой навигацией, эпистемологической маркировкой и базовой библиографией.</w:t>
      </w:r>
    </w:p>
    <w:p>
      <w:pPr>
        <w:pStyle w:val="Compact"/>
        <w:numPr>
          <w:ilvl w:val="0"/>
          <w:numId w:val="1005"/>
        </w:numPr>
      </w:pPr>
      <w:r>
        <w:t xml:space="preserve">Включил разделы I–III и вводный блок биографии.</w:t>
      </w:r>
    </w:p>
    <w:p>
      <w:pPr>
        <w:pStyle w:val="Compact"/>
        <w:numPr>
          <w:ilvl w:val="0"/>
          <w:numId w:val="1005"/>
        </w:numPr>
      </w:pPr>
      <w:r>
        <w:t xml:space="preserve">Подготовил структуру для последующей «террапедизации» — интеграции гиперссылок, мультимедиа и доступных форматов.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Дальше:</w:t>
      </w:r>
      <w:r>
        <w:t xml:space="preserve"> </w:t>
      </w:r>
      <w:r>
        <w:t xml:space="preserve">Откройте этот документ и скажите: 1) какие разделы вы хотите расширить в первую очередь (например</w:t>
      </w:r>
      <w:r>
        <w:t xml:space="preserve"> </w:t>
      </w:r>
      <w:r>
        <w:t xml:space="preserve">“Материальная культура — металлургия”</w:t>
      </w:r>
      <w:r>
        <w:t xml:space="preserve"> </w:t>
      </w:r>
      <w:r>
        <w:t xml:space="preserve">или</w:t>
      </w:r>
      <w:r>
        <w:t xml:space="preserve"> </w:t>
      </w:r>
      <w:r>
        <w:t xml:space="preserve">“Биография: Книга Первая”</w:t>
      </w:r>
      <w:r>
        <w:t xml:space="preserve">), 2) хотите ли вы, чтобы я сразу добавил полные переводы на Uzbek/Uyghur/Deutsch, и 3) хотите ли вы научные ссылки в формате IEEE для</w:t>
      </w:r>
      <w:r>
        <w:t xml:space="preserve"> </w:t>
      </w:r>
      <w:r>
        <w:rPr>
          <w:b/>
          <w:bCs/>
        </w:rPr>
        <w:t xml:space="preserve">каждого</w:t>
      </w:r>
      <w:r>
        <w:t xml:space="preserve"> </w:t>
      </w:r>
      <w:r>
        <w:t xml:space="preserve">утверждения (я могу добавить подробную библиографию и inline‑ссылки).</w:t>
      </w:r>
    </w:p>
    <w:p>
      <w:pPr>
        <w:pStyle w:val="BodyText"/>
      </w:pPr>
      <w:r>
        <w:rPr>
          <w:i/>
          <w:iCs/>
        </w:rPr>
        <w:t xml:space="preserve">Коротко:</w:t>
      </w:r>
      <w:r>
        <w:t xml:space="preserve"> </w:t>
      </w:r>
      <w:r>
        <w:t xml:space="preserve">документ готов и доступен в правой панели. Откройте, проверьте и скажите — я продолжу развёртывать главы и добавлять переводы/цитаты по вашему приоритету.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2025-10-10T13:52:27Z</dcterms:created>
  <dcterms:modified xsi:type="dcterms:W3CDTF">2025-10-10T13:52:27Z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