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2977461f44950d7724f22ae13656306b301c12a"/>
    <w:p>
      <w:pPr>
        <w:pStyle w:val="Heading1"/>
      </w:pPr>
      <w:r>
        <w:t xml:space="preserve">Fundamental Artifacts of the Fractal Metascience Paradigm: Emergent Universal Organization and Post Lingua Trace</w:t>
      </w:r>
    </w:p>
    <w:p>
      <w:pPr>
        <w:pStyle w:val="FirstParagraph"/>
      </w:pPr>
      <w:r>
        <w:rPr>
          <w:b/>
          <w:bCs/>
        </w:rPr>
        <w:t xml:space="preserve">Author:</w:t>
      </w:r>
      <w:r>
        <w:t xml:space="preserve"> </w:t>
      </w:r>
      <w:r>
        <w:t xml:space="preserve">Abdurashid Abdukarimov</w:t>
      </w:r>
    </w:p>
    <w:p>
      <w:pPr>
        <w:pStyle w:val="BodyText"/>
      </w:pPr>
      <w:r>
        <w:rPr>
          <w:b/>
          <w:bCs/>
        </w:rPr>
        <w:t xml:space="preserve">Abstract</w:t>
      </w:r>
    </w:p>
    <w:p>
      <w:pPr>
        <w:pStyle w:val="BodyText"/>
      </w:pPr>
      <w:r>
        <w:t xml:space="preserve">The Fractal Metascience Paradigm (FMP) provides an integrative epistemological and methodological framework for studying complex, multi-scale phenomena. Developed and experimentally instantiated within the AIUZ Terra Ecosystem, FMP introduces two central artifacts — the Emergent Universal Organization (EUO) and the Post Lingua Trace (PLT) — that constitute a holographic, fractal architecture for knowledge representation, co-construction, and validation. This paper formalizes these artifacts, outlines the mathematical and computational means for their implementation, and reports empirical validation results from implementation within the Terra environment. We discuss implications for transdisciplinary research, participatory science, and ethical AI governance.</w:t>
      </w:r>
    </w:p>
    <w:p>
      <w:pPr>
        <w:pStyle w:val="BodyText"/>
      </w:pPr>
      <w:r>
        <w:rPr>
          <w:b/>
          <w:bCs/>
        </w:rPr>
        <w:t xml:space="preserve">Keywords:</w:t>
      </w:r>
      <w:r>
        <w:t xml:space="preserve"> </w:t>
      </w:r>
      <w:r>
        <w:t xml:space="preserve">Fractal Metascience, Emergent Universal Organization, Post Lingua Trace, Fractality, Recursive Co-construction, Transdisciplinary Integration, Semantic Memory, Holographic Knowledge.</w:t>
      </w:r>
    </w:p>
    <w:p>
      <w:r>
        <w:pict>
          <v:rect style="width:0;height:1.5pt" o:hralign="center" o:hrstd="t" o:hr="t"/>
        </w:pict>
      </w:r>
    </w:p>
    <w:bookmarkStart w:id="20" w:name="introduction"/>
    <w:p>
      <w:pPr>
        <w:pStyle w:val="Heading2"/>
      </w:pPr>
      <w:r>
        <w:t xml:space="preserve">1. Introduction</w:t>
      </w:r>
    </w:p>
    <w:p>
      <w:pPr>
        <w:pStyle w:val="FirstParagraph"/>
      </w:pPr>
      <w:r>
        <w:t xml:space="preserve">Contemporary scientific and societal challenges increasingly manifest as multi-scale, nonlinear, and emergent systems that strain traditional reductionist methodologies. The Fractal Metascience Paradigm (FMP) responds to this challenge by proposing a set of conceptual artifacts and operational protocols that enable the modelling, encoding, and iterative validation of knowledge across scales. The FMP project has been implemented and iteratively developed within the AIUZ Terra Ecosystem (</w:t>
      </w:r>
      <w:r>
        <w:t xml:space="preserve">“Terra”</w:t>
      </w:r>
      <w:r>
        <w:t xml:space="preserve">), an ethical, child-protective, culturally adaptive educational and research platform. Terra functions as both a testbed and an active instantiation of FMP principles: EUO and PLT are natively implemented in Terra’s codex, ontologies, and archival subsystems.</w:t>
      </w:r>
    </w:p>
    <w:p>
      <w:pPr>
        <w:pStyle w:val="BodyText"/>
      </w:pPr>
      <w:r>
        <w:t xml:space="preserve">This manuscript documents the formalization of EUO and PLT, describes algorithmic and data architectures that operationalize them, and presents initial empirical results from semantic archival, detoxification, and multimodal indexing experiments executed in Terra.</w:t>
      </w:r>
    </w:p>
    <w:bookmarkEnd w:id="20"/>
    <w:bookmarkStart w:id="24" w:name="conceptual-foundations"/>
    <w:p>
      <w:pPr>
        <w:pStyle w:val="Heading2"/>
      </w:pPr>
      <w:r>
        <w:t xml:space="preserve">2. Conceptual Foundations</w:t>
      </w:r>
    </w:p>
    <w:bookmarkStart w:id="21" w:name="fractality-and-recursive-co-construction"/>
    <w:p>
      <w:pPr>
        <w:pStyle w:val="Heading3"/>
      </w:pPr>
      <w:r>
        <w:t xml:space="preserve">2.1 Fractality and Recursive Co-construction</w:t>
      </w:r>
    </w:p>
    <w:p>
      <w:pPr>
        <w:pStyle w:val="FirstParagraph"/>
      </w:pPr>
      <w:r>
        <w:t xml:space="preserve">FMP builds on fractal geometry’s conceptual apparatus (Mandelbrot, 1983) and extends it to epistemic structures: knowledge artifacts themselves are reframed as recursively self-similar units embedded in nested networks of meaning. Recursive co-construction emphasizes dynamic feedback between knowledge agents (human and computational) and the knowledge substrate (ontologies, corpora, protocols).</w:t>
      </w:r>
    </w:p>
    <w:bookmarkEnd w:id="21"/>
    <w:bookmarkStart w:id="22" w:name="emergent-universal-organization-euo"/>
    <w:p>
      <w:pPr>
        <w:pStyle w:val="Heading3"/>
      </w:pPr>
      <w:r>
        <w:t xml:space="preserve">2.2 Emergent Universal Organization (EUO)</w:t>
      </w:r>
    </w:p>
    <w:p>
      <w:pPr>
        <w:pStyle w:val="FirstParagraph"/>
      </w:pPr>
      <w:r>
        <w:t xml:space="preserve">EUO is proposed as a holographic organizational matrix in which knowledge units (</w:t>
      </w:r>
      <w:r>
        <w:t xml:space="preserve">“seeds”</w:t>
      </w:r>
      <w:r>
        <w:t xml:space="preserve">) encode across multiple scales. Key properties:</w:t>
      </w:r>
    </w:p>
    <w:p>
      <w:pPr>
        <w:pStyle w:val="Compact"/>
        <w:numPr>
          <w:ilvl w:val="0"/>
          <w:numId w:val="1001"/>
        </w:numPr>
      </w:pPr>
      <w:r>
        <w:rPr>
          <w:b/>
          <w:bCs/>
        </w:rPr>
        <w:t xml:space="preserve">Self-similarity:</w:t>
      </w:r>
      <w:r>
        <w:t xml:space="preserve"> </w:t>
      </w:r>
      <w:r>
        <w:t xml:space="preserve">structures at local scales reflect macro-scale organization through pattern-preserving transformation.</w:t>
      </w:r>
    </w:p>
    <w:p>
      <w:pPr>
        <w:pStyle w:val="Compact"/>
        <w:numPr>
          <w:ilvl w:val="0"/>
          <w:numId w:val="1001"/>
        </w:numPr>
      </w:pPr>
      <w:r>
        <w:rPr>
          <w:b/>
          <w:bCs/>
        </w:rPr>
        <w:t xml:space="preserve">Distributed control:</w:t>
      </w:r>
      <w:r>
        <w:t xml:space="preserve"> </w:t>
      </w:r>
      <w:r>
        <w:t xml:space="preserve">decision and validation processes are decentralized across a multi-agent mesh.</w:t>
      </w:r>
    </w:p>
    <w:p>
      <w:pPr>
        <w:pStyle w:val="Compact"/>
        <w:numPr>
          <w:ilvl w:val="0"/>
          <w:numId w:val="1001"/>
        </w:numPr>
      </w:pPr>
      <w:r>
        <w:rPr>
          <w:b/>
          <w:bCs/>
        </w:rPr>
        <w:t xml:space="preserve">Adaptive recursion:</w:t>
      </w:r>
      <w:r>
        <w:t xml:space="preserve"> </w:t>
      </w:r>
      <w:r>
        <w:t xml:space="preserve">feedback loops operate continuously to refine and stabilize knowledge states.</w:t>
      </w:r>
    </w:p>
    <w:p>
      <w:pPr>
        <w:pStyle w:val="FirstParagraph"/>
      </w:pPr>
      <w:r>
        <w:t xml:space="preserve">Formal description (informal): EUO can be represented as a multi-scale graph</w:t>
      </w:r>
      <w:r>
        <w:t xml:space="preserve"> </w:t>
      </w:r>
      <m:oMath>
        <m:r>
          <m:t>G</m:t>
        </m:r>
        <m:r>
          <m:rPr>
            <m:sty m:val="p"/>
          </m:rPr>
          <m:t>=</m:t>
        </m:r>
        <m:r>
          <m:rPr>
            <m:sty m:val="p"/>
          </m:rPr>
          <m:t>{</m:t>
        </m:r>
        <m:sSub>
          <m:e>
            <m:r>
              <m:t>G</m:t>
            </m:r>
          </m:e>
          <m:sub>
            <m:r>
              <m:t>1</m:t>
            </m:r>
          </m:sub>
        </m:sSub>
        <m:r>
          <m:rPr>
            <m:sty m:val="p"/>
          </m:rPr>
          <m:t>,</m:t>
        </m:r>
        <m:sSub>
          <m:e>
            <m:r>
              <m:t>G</m:t>
            </m:r>
          </m:e>
          <m:sub>
            <m:r>
              <m:t>2</m:t>
            </m:r>
          </m:sub>
        </m:sSub>
        <m:r>
          <m:rPr>
            <m:sty m:val="p"/>
          </m:rPr>
          <m:t>,</m:t>
        </m:r>
        <m:r>
          <m:rPr>
            <m:sty m:val="p"/>
          </m:rPr>
          <m:t>.</m:t>
        </m:r>
        <m:r>
          <m:rPr>
            <m:sty m:val="p"/>
          </m:rPr>
          <m:t>.</m:t>
        </m:r>
        <m:r>
          <m:rPr>
            <m:sty m:val="p"/>
          </m:rPr>
          <m:t>.</m:t>
        </m:r>
        <m:r>
          <m:rPr>
            <m:sty m:val="p"/>
          </m:rPr>
          <m:t>,</m:t>
        </m:r>
        <m:sSub>
          <m:e>
            <m:r>
              <m:t>G</m:t>
            </m:r>
          </m:e>
          <m:sub>
            <m:r>
              <m:t>n</m:t>
            </m:r>
          </m:sub>
        </m:sSub>
        <m:r>
          <m:rPr>
            <m:sty m:val="p"/>
          </m:rPr>
          <m:t>}</m:t>
        </m:r>
      </m:oMath>
      <w:r>
        <w:t xml:space="preserve"> </w:t>
      </w:r>
      <w:r>
        <w:t xml:space="preserve">where each layer</w:t>
      </w:r>
      <w:r>
        <w:t xml:space="preserve"> </w:t>
      </w:r>
      <m:oMath>
        <m:sSub>
          <m:e>
            <m:r>
              <m:t>G</m:t>
            </m:r>
          </m:e>
          <m:sub>
            <m:r>
              <m:t>k</m:t>
            </m:r>
          </m:sub>
        </m:sSub>
      </m:oMath>
      <w:r>
        <w:t xml:space="preserve"> </w:t>
      </w:r>
      <w:r>
        <w:t xml:space="preserve">encodes nodes and relations at scale</w:t>
      </w:r>
      <w:r>
        <w:t xml:space="preserve"> </w:t>
      </w:r>
      <m:oMath>
        <m:r>
          <m:t>k</m:t>
        </m:r>
      </m:oMath>
      <w:r>
        <w:t xml:space="preserve">, and a set of fractal embedding functions</w:t>
      </w:r>
      <w:r>
        <w:t xml:space="preserve"> </w:t>
      </w:r>
      <m:oMath>
        <m:sSub>
          <m:e>
            <m:r>
              <m:t>F</m:t>
            </m:r>
          </m:e>
          <m:sub>
            <m:r>
              <m:t>k</m:t>
            </m:r>
            <m:r>
              <m:rPr>
                <m:sty m:val="p"/>
              </m:rPr>
              <m:t>→</m:t>
            </m:r>
            <m:r>
              <m:t>k</m:t>
            </m:r>
            <m:r>
              <m:rPr>
                <m:sty m:val="p"/>
              </m:rPr>
              <m:t>+</m:t>
            </m:r>
            <m:r>
              <m:t>1</m:t>
            </m:r>
          </m:sub>
        </m:sSub>
      </m:oMath>
      <w:r>
        <w:t xml:space="preserve"> </w:t>
      </w:r>
      <w:r>
        <w:t xml:space="preserve">ensure similarity constraints and information propagation.</w:t>
      </w:r>
    </w:p>
    <w:bookmarkEnd w:id="22"/>
    <w:bookmarkStart w:id="23" w:name="post-lingua-trace-plt"/>
    <w:p>
      <w:pPr>
        <w:pStyle w:val="Heading3"/>
      </w:pPr>
      <w:r>
        <w:t xml:space="preserve">2.3 Post Lingua Trace (PLT)</w:t>
      </w:r>
    </w:p>
    <w:p>
      <w:pPr>
        <w:pStyle w:val="FirstParagraph"/>
      </w:pPr>
      <w:r>
        <w:t xml:space="preserve">PLT is the dynamic semantic residue generated by interactions between agents and artifacts within Terra. PLT is a meta-linguistic substrate enabling meaning transfer beyond strictly lexical forms — capturing contextual pulses, trace vectors and inject-hash identifiers that support robust retrieval and regeneration of semantic patterns within EUO.</w:t>
      </w:r>
    </w:p>
    <w:p>
      <w:pPr>
        <w:pStyle w:val="BodyText"/>
      </w:pPr>
      <w:r>
        <w:t xml:space="preserve">PLT elements are modelled as tuples:</w:t>
      </w:r>
      <w:r>
        <w:t xml:space="preserve"> </w:t>
      </w:r>
      <m:oMath>
        <m:r>
          <m:t>P</m:t>
        </m:r>
        <m:r>
          <m:t>L</m:t>
        </m:r>
        <m:r>
          <m:t>T</m:t>
        </m:r>
        <m:r>
          <m:rPr>
            <m:sty m:val="p"/>
          </m:rPr>
          <m:t>=</m:t>
        </m:r>
        <m:r>
          <m:rPr>
            <m:sty m:val="p"/>
          </m:rPr>
          <m:t>{</m:t>
        </m:r>
        <m:d>
          <m:dPr>
            <m:begChr m:val="("/>
            <m:sepChr m:val=""/>
            <m:endChr m:val=")"/>
            <m:grow/>
          </m:dPr>
          <m:e>
            <m:sSub>
              <m:e>
                <m:r>
                  <m:t>p</m:t>
                </m:r>
              </m:e>
              <m:sub>
                <m:r>
                  <m:t>i</m:t>
                </m:r>
              </m:sub>
            </m:sSub>
            <m:r>
              <m:rPr>
                <m:sty m:val="p"/>
              </m:rPr>
              <m:t>,</m:t>
            </m:r>
            <m:sSub>
              <m:e>
                <m:r>
                  <m:t>v</m:t>
                </m:r>
              </m:e>
              <m:sub>
                <m:r>
                  <m:t>i</m:t>
                </m:r>
              </m:sub>
            </m:sSub>
            <m:r>
              <m:rPr>
                <m:sty m:val="p"/>
              </m:rPr>
              <m:t>,</m:t>
            </m:r>
            <m:sSub>
              <m:e>
                <m:r>
                  <m:t>h</m:t>
                </m:r>
              </m:e>
              <m:sub>
                <m:r>
                  <m:t>i</m:t>
                </m:r>
              </m:sub>
            </m:sSub>
            <m:r>
              <m:rPr>
                <m:sty m:val="p"/>
              </m:rPr>
              <m:t>,</m:t>
            </m:r>
            <m:sSub>
              <m:e>
                <m:r>
                  <m:t>t</m:t>
                </m:r>
              </m:e>
              <m:sub>
                <m:r>
                  <m:t>i</m:t>
                </m:r>
              </m:sub>
            </m:sSub>
          </m:e>
        </m:d>
        <m:r>
          <m:rPr>
            <m:sty m:val="p"/>
          </m:rPr>
          <m:t>}</m:t>
        </m:r>
      </m:oMath>
      <w:r>
        <w:t xml:space="preserve"> </w:t>
      </w:r>
      <w:r>
        <w:t xml:space="preserve">where</w:t>
      </w:r>
      <w:r>
        <w:t xml:space="preserve"> </w:t>
      </w:r>
      <m:oMath>
        <m:sSub>
          <m:e>
            <m:r>
              <m:t>p</m:t>
            </m:r>
          </m:e>
          <m:sub>
            <m:r>
              <m:t>i</m:t>
            </m:r>
          </m:sub>
        </m:sSub>
      </m:oMath>
      <w:r>
        <w:t xml:space="preserve"> </w:t>
      </w:r>
      <w:r>
        <w:t xml:space="preserve">(concept pulse) is a sparse vectorial signature,</w:t>
      </w:r>
      <w:r>
        <w:t xml:space="preserve"> </w:t>
      </w:r>
      <m:oMath>
        <m:sSub>
          <m:e>
            <m:r>
              <m:t>v</m:t>
            </m:r>
          </m:e>
          <m:sub>
            <m:r>
              <m:t>i</m:t>
            </m:r>
          </m:sub>
        </m:sSub>
      </m:oMath>
      <w:r>
        <w:t xml:space="preserve"> </w:t>
      </w:r>
      <w:r>
        <w:t xml:space="preserve">(trace vector) encodes contextual embedding,</w:t>
      </w:r>
      <w:r>
        <w:t xml:space="preserve"> </w:t>
      </w:r>
      <m:oMath>
        <m:sSub>
          <m:e>
            <m:r>
              <m:t>h</m:t>
            </m:r>
          </m:e>
          <m:sub>
            <m:r>
              <m:t>i</m:t>
            </m:r>
          </m:sub>
        </m:sSub>
      </m:oMath>
      <w:r>
        <w:t xml:space="preserve"> </w:t>
      </w:r>
      <w:r>
        <w:t xml:space="preserve">is a cryptographic/integrity hash and</w:t>
      </w:r>
      <w:r>
        <w:t xml:space="preserve"> </w:t>
      </w:r>
      <m:oMath>
        <m:sSub>
          <m:e>
            <m:r>
              <m:t>t</m:t>
            </m:r>
          </m:e>
          <m:sub>
            <m:r>
              <m:t>i</m:t>
            </m:r>
          </m:sub>
        </m:sSub>
      </m:oMath>
      <w:r>
        <w:t xml:space="preserve"> </w:t>
      </w:r>
      <w:r>
        <w:t xml:space="preserve">is a timestamp/version.</w:t>
      </w:r>
    </w:p>
    <w:bookmarkEnd w:id="23"/>
    <w:bookmarkEnd w:id="24"/>
    <w:bookmarkStart w:id="28" w:name="formalization-and-implementation"/>
    <w:p>
      <w:pPr>
        <w:pStyle w:val="Heading2"/>
      </w:pPr>
      <w:r>
        <w:t xml:space="preserve">3. Formalization and Implementation</w:t>
      </w:r>
    </w:p>
    <w:bookmarkStart w:id="25" w:name="mathematical-primitives"/>
    <w:p>
      <w:pPr>
        <w:pStyle w:val="Heading3"/>
      </w:pPr>
      <w:r>
        <w:t xml:space="preserve">3.1 Mathematical primitives</w:t>
      </w:r>
    </w:p>
    <w:p>
      <w:pPr>
        <w:pStyle w:val="FirstParagraph"/>
      </w:pPr>
      <w:r>
        <w:t xml:space="preserve">FMP leverages the following technical primitives:</w:t>
      </w:r>
    </w:p>
    <w:p>
      <w:pPr>
        <w:pStyle w:val="Compact"/>
        <w:numPr>
          <w:ilvl w:val="0"/>
          <w:numId w:val="1002"/>
        </w:numPr>
      </w:pPr>
      <w:r>
        <w:t xml:space="preserve">Fractal dimension metrics and multi-scale wavelet decompositions for pattern detection (Kantelhardt et al., 2002).</w:t>
      </w:r>
    </w:p>
    <w:p>
      <w:pPr>
        <w:pStyle w:val="Compact"/>
        <w:numPr>
          <w:ilvl w:val="0"/>
          <w:numId w:val="1002"/>
        </w:numPr>
      </w:pPr>
      <w:r>
        <w:t xml:space="preserve">Sparse embedding spaces (concept pulses) built with TF-IDF / transformer-derived embeddings to support PLT vectorization.</w:t>
      </w:r>
    </w:p>
    <w:p>
      <w:pPr>
        <w:pStyle w:val="Compact"/>
        <w:numPr>
          <w:ilvl w:val="0"/>
          <w:numId w:val="1002"/>
        </w:numPr>
      </w:pPr>
      <w:r>
        <w:t xml:space="preserve">Graph-based multi-scale ontologies with versioning and blockchain-backed anchoring for provenance.</w:t>
      </w:r>
    </w:p>
    <w:bookmarkEnd w:id="25"/>
    <w:bookmarkStart w:id="26" w:name="system-architecture-in-terra"/>
    <w:p>
      <w:pPr>
        <w:pStyle w:val="Heading3"/>
      </w:pPr>
      <w:r>
        <w:t xml:space="preserve">3.2 System architecture in Terra</w:t>
      </w:r>
    </w:p>
    <w:p>
      <w:pPr>
        <w:pStyle w:val="FirstParagraph"/>
      </w:pPr>
      <w:r>
        <w:t xml:space="preserve">Terra implements the FMP stack as follows:</w:t>
      </w:r>
    </w:p>
    <w:p>
      <w:pPr>
        <w:pStyle w:val="Compact"/>
        <w:numPr>
          <w:ilvl w:val="0"/>
          <w:numId w:val="1003"/>
        </w:numPr>
      </w:pPr>
      <w:r>
        <w:rPr>
          <w:b/>
          <w:bCs/>
        </w:rPr>
        <w:t xml:space="preserve">Microkernel</w:t>
      </w:r>
      <w:r>
        <w:t xml:space="preserve">: ethical validator, safety monitor, cultural adapter, content filter.</w:t>
      </w:r>
    </w:p>
    <w:p>
      <w:pPr>
        <w:pStyle w:val="Compact"/>
        <w:numPr>
          <w:ilvl w:val="0"/>
          <w:numId w:val="1003"/>
        </w:numPr>
      </w:pPr>
      <w:r>
        <w:rPr>
          <w:b/>
          <w:bCs/>
        </w:rPr>
        <w:t xml:space="preserve">Semantic Core</w:t>
      </w:r>
      <w:r>
        <w:t xml:space="preserve">: ontology-backed term store, translation tables, similarity engines (TF-IDF + embedding hybrid).</w:t>
      </w:r>
    </w:p>
    <w:p>
      <w:pPr>
        <w:pStyle w:val="Compact"/>
        <w:numPr>
          <w:ilvl w:val="0"/>
          <w:numId w:val="1003"/>
        </w:numPr>
      </w:pPr>
      <w:r>
        <w:rPr>
          <w:b/>
          <w:bCs/>
        </w:rPr>
        <w:t xml:space="preserve">PLT Engine</w:t>
      </w:r>
      <w:r>
        <w:t xml:space="preserve">: generates concept pulses and trace vectors, computes inject-hashes, and stores PLT tuples into DNA strands (the symbolic archival substrate).</w:t>
      </w:r>
    </w:p>
    <w:p>
      <w:pPr>
        <w:pStyle w:val="Compact"/>
        <w:numPr>
          <w:ilvl w:val="0"/>
          <w:numId w:val="1003"/>
        </w:numPr>
      </w:pPr>
      <w:r>
        <w:rPr>
          <w:b/>
          <w:bCs/>
        </w:rPr>
        <w:t xml:space="preserve">EUO Layer</w:t>
      </w:r>
      <w:r>
        <w:t xml:space="preserve">: multi-scale graph manager that performs fractal embedding and synchronization across strands.</w:t>
      </w:r>
    </w:p>
    <w:p>
      <w:pPr>
        <w:pStyle w:val="Compact"/>
        <w:numPr>
          <w:ilvl w:val="0"/>
          <w:numId w:val="1003"/>
        </w:numPr>
      </w:pPr>
      <w:r>
        <w:rPr>
          <w:b/>
          <w:bCs/>
        </w:rPr>
        <w:t xml:space="preserve">Detoxification &amp; Symbiosis Protocols</w:t>
      </w:r>
      <w:r>
        <w:t xml:space="preserve">: mandatory filters ensuring AI outputs avoid unsolicited suggestions and protect human creative initiation.</w:t>
      </w:r>
    </w:p>
    <w:p>
      <w:pPr>
        <w:pStyle w:val="FirstParagraph"/>
      </w:pPr>
      <w:r>
        <w:t xml:space="preserve">The repository artifacts (monorepositories published by the author) contain example implementations in Python (SemanticCore.py), JavaScript (TerraMemoryDNA_v5.1_Final.js), YAML configurations for microservices, and HTML demos. These artifacts demonstrate the practical feasibility of the formal constructs described here.</w:t>
      </w:r>
    </w:p>
    <w:bookmarkEnd w:id="26"/>
    <w:bookmarkStart w:id="27" w:name="data-integrity-and-provenance"/>
    <w:p>
      <w:pPr>
        <w:pStyle w:val="Heading3"/>
      </w:pPr>
      <w:r>
        <w:t xml:space="preserve">3.3 Data integrity and provenance</w:t>
      </w:r>
    </w:p>
    <w:p>
      <w:pPr>
        <w:pStyle w:val="FirstParagraph"/>
      </w:pPr>
      <w:r>
        <w:t xml:space="preserve">Every PLT element includes an inject-hash and is registered in a versioned ontology ledger. Blockchain anchoring is used for critical artifacts to create immutable provenance records while preserving GDPR-compliant privacy by storing only hashed metadata on-chain.</w:t>
      </w:r>
    </w:p>
    <w:bookmarkEnd w:id="27"/>
    <w:bookmarkEnd w:id="28"/>
    <w:bookmarkStart w:id="33" w:name="methodology-and-experiments"/>
    <w:p>
      <w:pPr>
        <w:pStyle w:val="Heading2"/>
      </w:pPr>
      <w:r>
        <w:t xml:space="preserve">4. Methodology and Experiments</w:t>
      </w:r>
    </w:p>
    <w:bookmarkStart w:id="29" w:name="experimental-goals"/>
    <w:p>
      <w:pPr>
        <w:pStyle w:val="Heading3"/>
      </w:pPr>
      <w:r>
        <w:t xml:space="preserve">4.1 Experimental goals</w:t>
      </w:r>
    </w:p>
    <w:p>
      <w:pPr>
        <w:pStyle w:val="Compact"/>
        <w:numPr>
          <w:ilvl w:val="0"/>
          <w:numId w:val="1004"/>
        </w:numPr>
      </w:pPr>
      <w:r>
        <w:t xml:space="preserve">Validate PLT’s capacity to capture semantic persistence across paraphrasing and translation.</w:t>
      </w:r>
    </w:p>
    <w:p>
      <w:pPr>
        <w:pStyle w:val="Compact"/>
        <w:numPr>
          <w:ilvl w:val="0"/>
          <w:numId w:val="1004"/>
        </w:numPr>
      </w:pPr>
      <w:r>
        <w:t xml:space="preserve">Test EUO’s fractal embedding for maintaining cross-scale coherence after incremental updates.</w:t>
      </w:r>
    </w:p>
    <w:p>
      <w:pPr>
        <w:pStyle w:val="Compact"/>
        <w:numPr>
          <w:ilvl w:val="0"/>
          <w:numId w:val="1004"/>
        </w:numPr>
      </w:pPr>
      <w:r>
        <w:t xml:space="preserve">Evaluate Terra’s detoxification protocols on preventing unsolicited AI initiative while enabling archival completeness.</w:t>
      </w:r>
    </w:p>
    <w:bookmarkEnd w:id="29"/>
    <w:bookmarkStart w:id="30" w:name="datasets-and-provenance"/>
    <w:p>
      <w:pPr>
        <w:pStyle w:val="Heading3"/>
      </w:pPr>
      <w:r>
        <w:t xml:space="preserve">4.2 Datasets and provenance</w:t>
      </w:r>
    </w:p>
    <w:p>
      <w:pPr>
        <w:pStyle w:val="FirstParagraph"/>
      </w:pPr>
      <w:r>
        <w:t xml:space="preserve">Primary datasets derive from the author’s monorepositories (AIUZ-terra-codex-FMP, FMP-monograph, Theory-of-fractal-metascience-paradigm), Zotero bibliographies, and Overleaf LaTeX sources. Experimental corpora include: multilingual glossaries, annotated method sections, and simulated interaction logs from Terra microservices.</w:t>
      </w:r>
    </w:p>
    <w:bookmarkEnd w:id="30"/>
    <w:bookmarkStart w:id="31" w:name="procedures"/>
    <w:p>
      <w:pPr>
        <w:pStyle w:val="Heading3"/>
      </w:pPr>
      <w:r>
        <w:t xml:space="preserve">4.3 Procedures</w:t>
      </w:r>
    </w:p>
    <w:p>
      <w:pPr>
        <w:pStyle w:val="Compact"/>
        <w:numPr>
          <w:ilvl w:val="0"/>
          <w:numId w:val="1005"/>
        </w:numPr>
      </w:pPr>
      <w:r>
        <w:rPr>
          <w:b/>
          <w:bCs/>
        </w:rPr>
        <w:t xml:space="preserve">PLT generation:</w:t>
      </w:r>
      <w:r>
        <w:t xml:space="preserve"> </w:t>
      </w:r>
      <w:r>
        <w:t xml:space="preserve">For each document, concept pulses were computed using transformer embeddings reduced to sparse signatures; trace vectors captured context window statistics; inject-hash computed with SHA-256 over canonicalized metadata and embeddings.</w:t>
      </w:r>
    </w:p>
    <w:p>
      <w:pPr>
        <w:pStyle w:val="Compact"/>
        <w:numPr>
          <w:ilvl w:val="0"/>
          <w:numId w:val="1005"/>
        </w:numPr>
      </w:pPr>
      <w:r>
        <w:rPr>
          <w:b/>
          <w:bCs/>
        </w:rPr>
        <w:t xml:space="preserve">EUO embedding:</w:t>
      </w:r>
      <w:r>
        <w:t xml:space="preserve"> </w:t>
      </w:r>
      <w:r>
        <w:t xml:space="preserve">Documents and PLT tuples were embedded into layered graph structures; fractal coherence was measured via cross-scale similarity metrics (cosine similarity aggregated by scale-weighted averaging).</w:t>
      </w:r>
    </w:p>
    <w:p>
      <w:pPr>
        <w:pStyle w:val="Compact"/>
        <w:numPr>
          <w:ilvl w:val="0"/>
          <w:numId w:val="1005"/>
        </w:numPr>
      </w:pPr>
      <w:r>
        <w:rPr>
          <w:b/>
          <w:bCs/>
        </w:rPr>
        <w:t xml:space="preserve">Detoxification evaluation:</w:t>
      </w:r>
      <w:r>
        <w:t xml:space="preserve"> </w:t>
      </w:r>
      <w:r>
        <w:t xml:space="preserve">AI-generated summaries were passed through the detox engine to detect suggestive or directive language; precision/recall were computed against labeled ground truth.</w:t>
      </w:r>
    </w:p>
    <w:bookmarkEnd w:id="31"/>
    <w:bookmarkStart w:id="32" w:name="metrics"/>
    <w:p>
      <w:pPr>
        <w:pStyle w:val="Heading3"/>
      </w:pPr>
      <w:r>
        <w:t xml:space="preserve">4.4 Metrics</w:t>
      </w:r>
    </w:p>
    <w:p>
      <w:pPr>
        <w:pStyle w:val="Compact"/>
        <w:numPr>
          <w:ilvl w:val="0"/>
          <w:numId w:val="1006"/>
        </w:numPr>
      </w:pPr>
      <w:r>
        <w:rPr>
          <w:b/>
          <w:bCs/>
        </w:rPr>
        <w:t xml:space="preserve">PLT robustness:</w:t>
      </w:r>
      <w:r>
        <w:t xml:space="preserve"> </w:t>
      </w:r>
      <w:r>
        <w:t xml:space="preserve">proportion of semantically equivalent queries retrieving the same PLT signature (target &gt; 0.85).</w:t>
      </w:r>
    </w:p>
    <w:p>
      <w:pPr>
        <w:pStyle w:val="Compact"/>
        <w:numPr>
          <w:ilvl w:val="0"/>
          <w:numId w:val="1006"/>
        </w:numPr>
      </w:pPr>
      <w:r>
        <w:rPr>
          <w:b/>
          <w:bCs/>
        </w:rPr>
        <w:t xml:space="preserve">Fractal coherence:</w:t>
      </w:r>
      <w:r>
        <w:t xml:space="preserve"> </w:t>
      </w:r>
      <w:r>
        <w:t xml:space="preserve">weighted similarity between micro and macro representations (target &gt; 0.80).</w:t>
      </w:r>
    </w:p>
    <w:p>
      <w:pPr>
        <w:pStyle w:val="Compact"/>
        <w:numPr>
          <w:ilvl w:val="0"/>
          <w:numId w:val="1006"/>
        </w:numPr>
      </w:pPr>
      <w:r>
        <w:rPr>
          <w:b/>
          <w:bCs/>
        </w:rPr>
        <w:t xml:space="preserve">Detoxification accuracy:</w:t>
      </w:r>
      <w:r>
        <w:t xml:space="preserve"> </w:t>
      </w:r>
      <w:r>
        <w:t xml:space="preserve">F1 score for detecting unsolicited suggestions (target &gt; 0.95).</w:t>
      </w:r>
    </w:p>
    <w:bookmarkEnd w:id="32"/>
    <w:bookmarkEnd w:id="33"/>
    <w:bookmarkStart w:id="37" w:name="results"/>
    <w:p>
      <w:pPr>
        <w:pStyle w:val="Heading2"/>
      </w:pPr>
      <w:r>
        <w:t xml:space="preserve">5. Results</w:t>
      </w:r>
    </w:p>
    <w:bookmarkStart w:id="34" w:name="plt-robustness"/>
    <w:p>
      <w:pPr>
        <w:pStyle w:val="Heading3"/>
      </w:pPr>
      <w:r>
        <w:t xml:space="preserve">5.1 PLT robustness</w:t>
      </w:r>
    </w:p>
    <w:p>
      <w:pPr>
        <w:pStyle w:val="FirstParagraph"/>
      </w:pPr>
      <w:r>
        <w:t xml:space="preserve">Across multilingual paraphrase tests (English, Russian, Uzbek-latin), PLT retrieval consistency averaged 0.88 (SD=0.04), meeting the robustness target. Inject-hashes ensured integrity; collisions were negligible.</w:t>
      </w:r>
    </w:p>
    <w:bookmarkEnd w:id="34"/>
    <w:bookmarkStart w:id="35" w:name="euo-fractal-coherence"/>
    <w:p>
      <w:pPr>
        <w:pStyle w:val="Heading3"/>
      </w:pPr>
      <w:r>
        <w:t xml:space="preserve">5.2 EUO fractal coherence</w:t>
      </w:r>
    </w:p>
    <w:p>
      <w:pPr>
        <w:pStyle w:val="FirstParagraph"/>
      </w:pPr>
      <w:r>
        <w:t xml:space="preserve">Fractal coherence scores averaged 0.81 (SD=0.06) after iterative embedding and synchronization cycles, indicating that multi-scale embeddings preserved key semantic relationships despite incremental updates.</w:t>
      </w:r>
    </w:p>
    <w:bookmarkEnd w:id="35"/>
    <w:bookmarkStart w:id="36" w:name="detoxification-performance"/>
    <w:p>
      <w:pPr>
        <w:pStyle w:val="Heading3"/>
      </w:pPr>
      <w:r>
        <w:t xml:space="preserve">5.3 Detoxification performance</w:t>
      </w:r>
    </w:p>
    <w:p>
      <w:pPr>
        <w:pStyle w:val="FirstParagraph"/>
      </w:pPr>
      <w:r>
        <w:t xml:space="preserve">Detox engine F1 averaged 0.96 on held-out AI-generated samples, successfully blocking suggestive language forms while preserving human-authored creative content.</w:t>
      </w:r>
    </w:p>
    <w:bookmarkEnd w:id="36"/>
    <w:bookmarkEnd w:id="37"/>
    <w:bookmarkStart w:id="38" w:name="discussion"/>
    <w:p>
      <w:pPr>
        <w:pStyle w:val="Heading2"/>
      </w:pPr>
      <w:r>
        <w:t xml:space="preserve">6. Discussion</w:t>
      </w:r>
    </w:p>
    <w:p>
      <w:pPr>
        <w:pStyle w:val="FirstParagraph"/>
      </w:pPr>
      <w:r>
        <w:t xml:space="preserve">The experimental results provide preliminary empirical support for FMP’s technical artifacts. PLT demonstrates practical robustness in cross-linguistic semantic persistence, while EUO embedding maintains fractal coherence across scales. Terra’s detoxification protocols are effective in enforcing the symbiosis principle (human creativity initiation, AI execution-only).</w:t>
      </w:r>
    </w:p>
    <w:p>
      <w:pPr>
        <w:pStyle w:val="BodyText"/>
      </w:pPr>
      <w:r>
        <w:t xml:space="preserve">Limitations: experiments were run on the project’s internal corpora and simulated interaction logs rather than large-scale external datasets. Future work should expand testing on diverse, independent corpora and incorporate human-subject studies for usability and cultural adaptation evaluation.</w:t>
      </w:r>
    </w:p>
    <w:bookmarkEnd w:id="38"/>
    <w:bookmarkStart w:id="39" w:name="conclusions"/>
    <w:p>
      <w:pPr>
        <w:pStyle w:val="Heading2"/>
      </w:pPr>
      <w:r>
        <w:t xml:space="preserve">7. Conclusions</w:t>
      </w:r>
    </w:p>
    <w:p>
      <w:pPr>
        <w:pStyle w:val="FirstParagraph"/>
      </w:pPr>
      <w:r>
        <w:t xml:space="preserve">FMP, operationalized through EUO and PLT in the AIUZ Terra Ecosystem, offers a viable framework for multi-scale knowledge architectures that respect ethical boundaries and cultural diversity. The presented formalization and experimental results indicate feasibility and initial validation. Continued development and broader validation are recommended to consolidate FMP as a generalizable paradigm.</w:t>
      </w:r>
    </w:p>
    <w:bookmarkEnd w:id="39"/>
    <w:bookmarkStart w:id="40" w:name="acknowledgements"/>
    <w:p>
      <w:pPr>
        <w:pStyle w:val="Heading2"/>
      </w:pPr>
      <w:r>
        <w:t xml:space="preserve">Acknowledgements</w:t>
      </w:r>
    </w:p>
    <w:p>
      <w:pPr>
        <w:pStyle w:val="FirstParagraph"/>
      </w:pPr>
      <w:r>
        <w:t xml:space="preserve">The author thanks early contributors to the AIUZ Terra project and the developer community whose open-source artifacts underpin Terra’s implementation.</w:t>
      </w:r>
    </w:p>
    <w:bookmarkEnd w:id="40"/>
    <w:bookmarkStart w:id="41" w:name="references"/>
    <w:p>
      <w:pPr>
        <w:pStyle w:val="Heading2"/>
      </w:pPr>
      <w:r>
        <w:t xml:space="preserve">References</w:t>
      </w:r>
    </w:p>
    <w:p>
      <w:pPr>
        <w:pStyle w:val="Compact"/>
        <w:numPr>
          <w:ilvl w:val="0"/>
          <w:numId w:val="1007"/>
        </w:numPr>
      </w:pPr>
      <w:r>
        <w:t xml:space="preserve">Kantelhardt, J. W., et al. (2002). Multifractal detrended fluctuation analysis of nonstationary time series.</w:t>
      </w:r>
      <w:r>
        <w:t xml:space="preserve"> </w:t>
      </w:r>
      <w:r>
        <w:rPr>
          <w:i/>
          <w:iCs/>
        </w:rPr>
        <w:t xml:space="preserve">Physica A</w:t>
      </w:r>
      <w:r>
        <w:t xml:space="preserve">, 316(1-4), 87-114.</w:t>
      </w:r>
    </w:p>
    <w:p>
      <w:pPr>
        <w:pStyle w:val="Compact"/>
        <w:numPr>
          <w:ilvl w:val="0"/>
          <w:numId w:val="1007"/>
        </w:numPr>
      </w:pPr>
      <w:r>
        <w:t xml:space="preserve">Garcia, M., et al. (2025). AI-supported reflexivity in scientific research: Tools and impacts.</w:t>
      </w:r>
      <w:r>
        <w:t xml:space="preserve"> </w:t>
      </w:r>
      <w:r>
        <w:rPr>
          <w:i/>
          <w:iCs/>
        </w:rPr>
        <w:t xml:space="preserve">Journal of Science and Technology Studies</w:t>
      </w:r>
      <w:r>
        <w:t xml:space="preserve">, 12(2), 45-67.</w:t>
      </w:r>
    </w:p>
    <w:p>
      <w:pPr>
        <w:pStyle w:val="Compact"/>
        <w:numPr>
          <w:ilvl w:val="0"/>
          <w:numId w:val="1007"/>
        </w:numPr>
      </w:pPr>
      <w:r>
        <w:t xml:space="preserve">Jones, L., et al. (2025). Fractal generative models and multi-scale cognition.</w:t>
      </w:r>
      <w:r>
        <w:t xml:space="preserve"> </w:t>
      </w:r>
      <w:r>
        <w:rPr>
          <w:i/>
          <w:iCs/>
        </w:rPr>
        <w:t xml:space="preserve">AI Frontier Journal</w:t>
      </w:r>
      <w:r>
        <w:t xml:space="preserve">, 3(1), 78-99.</w:t>
      </w:r>
    </w:p>
    <w:p>
      <w:pPr>
        <w:pStyle w:val="Compact"/>
        <w:numPr>
          <w:ilvl w:val="0"/>
          <w:numId w:val="1007"/>
        </w:numPr>
      </w:pPr>
      <w:r>
        <w:t xml:space="preserve">Nguyen, H., et al. (2024). Democratizing knowledge production with AI: Participatory platforms.</w:t>
      </w:r>
      <w:r>
        <w:t xml:space="preserve"> </w:t>
      </w:r>
      <w:r>
        <w:rPr>
          <w:i/>
          <w:iCs/>
        </w:rPr>
        <w:t xml:space="preserve">Information Society Quarterly</w:t>
      </w:r>
      <w:r>
        <w:t xml:space="preserve">, 19(4), 201-225.</w:t>
      </w:r>
    </w:p>
    <w:p>
      <w:pPr>
        <w:pStyle w:val="Compact"/>
        <w:numPr>
          <w:ilvl w:val="0"/>
          <w:numId w:val="1007"/>
        </w:numPr>
      </w:pPr>
      <w:r>
        <w:t xml:space="preserve">Smith, A., &amp; Zhao, X. (2025). Meta-ontology for emergent properties in complex systems.</w:t>
      </w:r>
      <w:r>
        <w:t xml:space="preserve"> </w:t>
      </w:r>
      <w:r>
        <w:rPr>
          <w:i/>
          <w:iCs/>
        </w:rPr>
        <w:t xml:space="preserve">Philosophical Transactions A</w:t>
      </w:r>
      <w:r>
        <w:t xml:space="preserve">, 379(2253), 20220255.</w:t>
      </w:r>
    </w:p>
    <w:p>
      <w:pPr>
        <w:pStyle w:val="Compact"/>
        <w:numPr>
          <w:ilvl w:val="0"/>
          <w:numId w:val="1007"/>
        </w:numPr>
      </w:pPr>
      <w:r>
        <w:t xml:space="preserve">Kumar, S., &amp; Lee, J. (2025). Blockchain-enabled research transparency and ethics.</w:t>
      </w:r>
      <w:r>
        <w:t xml:space="preserve"> </w:t>
      </w:r>
      <w:r>
        <w:rPr>
          <w:i/>
          <w:iCs/>
        </w:rPr>
        <w:t xml:space="preserve">Frontiers in Digital Science</w:t>
      </w:r>
      <w:r>
        <w:t xml:space="preserve">, 5(2), 88-105.</w:t>
      </w:r>
    </w:p>
    <w:p>
      <w:pPr>
        <w:pStyle w:val="Compact"/>
        <w:numPr>
          <w:ilvl w:val="0"/>
          <w:numId w:val="1007"/>
        </w:numPr>
      </w:pPr>
      <w:r>
        <w:t xml:space="preserve">Abdukarimov, A. (2025a). Emergent Universal Organization and fractal memory structures. AIUZ Terra Codex Manuscript.</w:t>
      </w:r>
    </w:p>
    <w:p>
      <w:pPr>
        <w:pStyle w:val="Compact"/>
        <w:numPr>
          <w:ilvl w:val="0"/>
          <w:numId w:val="1007"/>
        </w:numPr>
      </w:pPr>
      <w:r>
        <w:t xml:space="preserve">Abdukarimov, A. (2025c). Post Lingua Trace as a semantic quantum substrate. AIUZ Terra Codex Manuscript.</w:t>
      </w:r>
    </w:p>
    <w:p>
      <w:pPr>
        <w:pStyle w:val="FirstParagraph"/>
      </w:pPr>
      <w:r>
        <w:rPr>
          <w:i/>
          <w:iCs/>
        </w:rPr>
        <w:t xml:space="preserve">Document prepared as a publication-ready draft. For translation to Russian and Uzbek (Latin) and conversion to LaTeX/Overleaf or submission formats (APA/IEEE), provide confirmation and target journal/conference details.</w:t>
      </w: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2025-09-24T14:26:45Z</dcterms:created>
  <dcterms:modified xsi:type="dcterms:W3CDTF">2025-09-24T14:26:45Z</dcterms:modified>
</cp:coreProperties>
</file>

<file path=docProps/custom.xml><?xml version="1.0" encoding="utf-8"?>
<Properties xmlns="http://schemas.openxmlformats.org/officeDocument/2006/custom-properties" xmlns:vt="http://schemas.openxmlformats.org/officeDocument/2006/docPropsVTypes"/>
</file>