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fractal-silk-route-hub-nullo-edition"/>
    <w:p>
      <w:pPr>
        <w:pStyle w:val="Heading1"/>
      </w:pPr>
      <w:r>
        <w:t xml:space="preserve">Fractal Silk Route Hub — NULLO Edition</w:t>
      </w:r>
    </w:p>
    <w:p>
      <w:pPr>
        <w:pStyle w:val="BlockText"/>
      </w:pPr>
      <w:r>
        <w:t xml:space="preserve">Документ: подробная спецификация ФМПУГ (Фрактальная Модель Управления Грузоперевозками) + начальный HTML‑прототип</w:t>
      </w:r>
      <w:r>
        <w:t xml:space="preserve"> </w:t>
      </w:r>
      <w:r>
        <w:t xml:space="preserve">“NULLO Edition”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цель-документа"/>
    <w:p>
      <w:pPr>
        <w:pStyle w:val="Heading2"/>
      </w:pPr>
      <w:r>
        <w:t xml:space="preserve">Цель документа</w:t>
      </w:r>
    </w:p>
    <w:p>
      <w:pPr>
        <w:pStyle w:val="FirstParagraph"/>
      </w:pPr>
      <w:r>
        <w:t xml:space="preserve">Предоставить модульную, фрактальную, NULLO‑ориентированную спецификацию для реализации цифрового хаба «Fractal Silk Route Hub» (FSRH). Включает:</w:t>
      </w:r>
    </w:p>
    <w:p>
      <w:pPr>
        <w:pStyle w:val="Compact"/>
        <w:numPr>
          <w:ilvl w:val="0"/>
          <w:numId w:val="1001"/>
        </w:numPr>
      </w:pPr>
      <w:r>
        <w:t xml:space="preserve">архитектуру фрактальных агентов;</w:t>
      </w:r>
    </w:p>
    <w:p>
      <w:pPr>
        <w:pStyle w:val="Compact"/>
        <w:numPr>
          <w:ilvl w:val="0"/>
          <w:numId w:val="1001"/>
        </w:numPr>
      </w:pPr>
      <w:r>
        <w:t xml:space="preserve">протоколы PLT/UCOM для коммуникации;</w:t>
      </w:r>
    </w:p>
    <w:p>
      <w:pPr>
        <w:pStyle w:val="Compact"/>
        <w:numPr>
          <w:ilvl w:val="0"/>
          <w:numId w:val="1001"/>
        </w:numPr>
      </w:pPr>
      <w:r>
        <w:t xml:space="preserve">математическую формализацию оптимизации (CAPEX/OPEX и распределение ресурсов);</w:t>
      </w:r>
    </w:p>
    <w:p>
      <w:pPr>
        <w:pStyle w:val="Compact"/>
        <w:numPr>
          <w:ilvl w:val="0"/>
          <w:numId w:val="1001"/>
        </w:numPr>
      </w:pPr>
      <w:r>
        <w:t xml:space="preserve">требования к UI (Terra Design System vNULL0);</w:t>
      </w:r>
    </w:p>
    <w:p>
      <w:pPr>
        <w:pStyle w:val="Compact"/>
        <w:numPr>
          <w:ilvl w:val="0"/>
          <w:numId w:val="1001"/>
        </w:numPr>
      </w:pPr>
      <w:r>
        <w:t xml:space="preserve">практические артефакты: HTML‑прототип (мультиязычный), бизнес‑план (текст), простые CSV с финансовыми оценками и помесячным планом 2026.</w:t>
      </w:r>
    </w:p>
    <w:p>
      <w:pPr>
        <w:pStyle w:val="BlockText"/>
      </w:pPr>
      <w:r>
        <w:t xml:space="preserve">Все тексты и интерфейсы ориентированы на EN / RU / UZ / DE и снабжены NULLO‑декларацией в шапке.</w:t>
      </w:r>
    </w:p>
    <w:p>
      <w:r>
        <w:pict>
          <v:rect style="width:0;height:1.5pt" o:hralign="center" o:hrstd="t" o:hr="t"/>
        </w:pict>
      </w:r>
    </w:p>
    <w:bookmarkEnd w:id="20"/>
    <w:bookmarkStart w:id="21" w:name="ключевые-принципы-системы-nullo-фмп"/>
    <w:p>
      <w:pPr>
        <w:pStyle w:val="Heading2"/>
      </w:pPr>
      <w:r>
        <w:t xml:space="preserve">1. Ключевые принципы системы (NULLO + ФМП)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NULLO‑ядро</w:t>
      </w:r>
      <w:r>
        <w:t xml:space="preserve">: центральная онтологическая точка — источник генерации концепт‑пульсов (ψ). Каждый агент и UI элемент несёт метаданные</w:t>
      </w:r>
      <w:r>
        <w:t xml:space="preserve"> </w:t>
      </w:r>
      <w:r>
        <w:rPr>
          <w:rStyle w:val="VerbatimChar"/>
        </w:rPr>
        <w:t xml:space="preserve">nullo.protocol: true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Фрактальность</w:t>
      </w:r>
      <w:r>
        <w:t xml:space="preserve">: каждый агент — микрофрактал всей системы; архитектура повторяема и рекурсивна.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PLT интеграция</w:t>
      </w:r>
      <w:r>
        <w:t xml:space="preserve">: все коммуникации кодируются как</w:t>
      </w:r>
      <w:r>
        <w:t xml:space="preserve"> </w:t>
      </w:r>
      <w:r>
        <w:rPr>
          <w:rStyle w:val="VerbatimChar"/>
        </w:rPr>
        <w:t xml:space="preserve">ψ</w:t>
      </w:r>
      <w:r>
        <w:t xml:space="preserve">,</w:t>
      </w:r>
      <w:r>
        <w:t xml:space="preserve"> </w:t>
      </w:r>
      <w:r>
        <w:rPr>
          <w:rStyle w:val="VerbatimChar"/>
        </w:rPr>
        <w:t xml:space="preserve">v_trace</w:t>
      </w:r>
      <w:r>
        <w:t xml:space="preserve">,</w:t>
      </w:r>
      <w:r>
        <w:t xml:space="preserve"> </w:t>
      </w:r>
      <w:r>
        <w:rPr>
          <w:rStyle w:val="VerbatimChar"/>
        </w:rPr>
        <w:t xml:space="preserve">h_inject</w:t>
      </w:r>
      <w:r>
        <w:t xml:space="preserve">,</w:t>
      </w:r>
      <w:r>
        <w:t xml:space="preserve"> </w:t>
      </w:r>
      <w:r>
        <w:rPr>
          <w:rStyle w:val="VerbatimChar"/>
        </w:rPr>
        <w:t xml:space="preserve">□_silence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Terra эстетика</w:t>
      </w:r>
      <w:r>
        <w:t xml:space="preserve">: интерфейс следует Terra Design System (цвета, типографика, анимации</w:t>
      </w:r>
      <w:r>
        <w:t xml:space="preserve"> </w:t>
      </w:r>
      <w:r>
        <w:t xml:space="preserve">“terra-breathe”</w:t>
      </w:r>
      <w:r>
        <w:t xml:space="preserve"> </w:t>
      </w:r>
      <w:r>
        <w:t xml:space="preserve">и</w:t>
      </w:r>
      <w:r>
        <w:t xml:space="preserve"> </w:t>
      </w:r>
      <w:r>
        <w:t xml:space="preserve">“terra-grow”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Практичность</w:t>
      </w:r>
      <w:r>
        <w:t xml:space="preserve">: MVP реализуется как HTML‑прототип + набор CSV/TXT; последующее масштабирование — API, DB, ML.</w:t>
      </w:r>
    </w:p>
    <w:p>
      <w:r>
        <w:pict>
          <v:rect style="width:0;height:1.5pt" o:hralign="center" o:hrstd="t" o:hr="t"/>
        </w:pict>
      </w:r>
    </w:p>
    <w:bookmarkEnd w:id="21"/>
    <w:bookmarkStart w:id="23" w:name="архитектура-агентов-функциональные-роли"/>
    <w:p>
      <w:pPr>
        <w:pStyle w:val="Heading2"/>
      </w:pPr>
      <w:r>
        <w:t xml:space="preserve">2. Архитектура агентов (функциональные роли)</w:t>
      </w:r>
    </w:p>
    <w:p>
      <w:pPr>
        <w:pStyle w:val="FirstParagraph"/>
      </w:pPr>
      <w:r>
        <w:t xml:space="preserve">Каждый фрактал (агент) реализует 5 компонентов (обязательных):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Observer</w:t>
      </w:r>
      <w:r>
        <w:t xml:space="preserve"> </w:t>
      </w:r>
      <w:r>
        <w:t xml:space="preserve">— сенсоры, сбор данных (GPS, IoT, ETA, новости, санкционные списки, метео).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Analyzer</w:t>
      </w:r>
      <w:r>
        <w:t xml:space="preserve"> </w:t>
      </w:r>
      <w:r>
        <w:t xml:space="preserve">— локальная модель маршрутизации, прогнозы задержек, расчёт стоимости сегмента.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Resolver</w:t>
      </w:r>
      <w:r>
        <w:t xml:space="preserve"> </w:t>
      </w:r>
      <w:r>
        <w:t xml:space="preserve">— переговоры с соседними фракталами, выбор альтернатив и управление рисками.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Organizer</w:t>
      </w:r>
      <w:r>
        <w:t xml:space="preserve"> </w:t>
      </w:r>
      <w:r>
        <w:t xml:space="preserve">— исполнение: бронирование места на транспорте, оформление документов, страховки.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Reporter</w:t>
      </w:r>
      <w:r>
        <w:t xml:space="preserve"> </w:t>
      </w:r>
      <w:r>
        <w:t xml:space="preserve">— публикация PLT‑трейса, агрегированные отчёты для TerraPedia.</w:t>
      </w:r>
    </w:p>
    <w:bookmarkStart w:id="22" w:name="жизненный-цикл-агента"/>
    <w:p>
      <w:pPr>
        <w:pStyle w:val="Heading3"/>
      </w:pPr>
      <w:r>
        <w:t xml:space="preserve">Жизненный цикл агента</w:t>
      </w:r>
    </w:p>
    <w:p>
      <w:pPr>
        <w:pStyle w:val="Compact"/>
        <w:numPr>
          <w:ilvl w:val="0"/>
          <w:numId w:val="1004"/>
        </w:numPr>
      </w:pPr>
      <w:r>
        <w:t xml:space="preserve">Инициация (seed):</w:t>
      </w:r>
      <w:r>
        <w:t xml:space="preserve"> </w:t>
      </w:r>
      <w:r>
        <w:rPr>
          <w:rStyle w:val="VerbatimChar"/>
        </w:rPr>
        <w:t xml:space="preserve">nullo.seed</w:t>
      </w:r>
      <w:r>
        <w:t xml:space="preserve"> </w:t>
      </w:r>
      <w:r>
        <w:t xml:space="preserve">с метаданными (регион, роль, капасити).</w:t>
      </w:r>
    </w:p>
    <w:p>
      <w:pPr>
        <w:pStyle w:val="Compact"/>
        <w:numPr>
          <w:ilvl w:val="0"/>
          <w:numId w:val="1004"/>
        </w:numPr>
      </w:pPr>
      <w:r>
        <w:t xml:space="preserve">Мониторинг: непрерывный flux данных (Observer).</w:t>
      </w:r>
    </w:p>
    <w:p>
      <w:pPr>
        <w:pStyle w:val="Compact"/>
        <w:numPr>
          <w:ilvl w:val="0"/>
          <w:numId w:val="1004"/>
        </w:numPr>
      </w:pPr>
      <w:r>
        <w:t xml:space="preserve">Планирование: Analyzer генерирует варианты (A1..An) с оценками по CAPEX/OPEX/Time/Risk.</w:t>
      </w:r>
    </w:p>
    <w:p>
      <w:pPr>
        <w:pStyle w:val="Compact"/>
        <w:numPr>
          <w:ilvl w:val="0"/>
          <w:numId w:val="1004"/>
        </w:numPr>
      </w:pPr>
      <w:r>
        <w:t xml:space="preserve">Переговоры: Resolver запускает голос/пул протокол (см. PLT negotiations).</w:t>
      </w:r>
    </w:p>
    <w:p>
      <w:pPr>
        <w:pStyle w:val="Compact"/>
        <w:numPr>
          <w:ilvl w:val="0"/>
          <w:numId w:val="1004"/>
        </w:numPr>
      </w:pPr>
      <w:r>
        <w:t xml:space="preserve">Выполнение: Organizer эмитирует транзакции и обновляет</w:t>
      </w:r>
      <w:r>
        <w:t xml:space="preserve"> </w:t>
      </w:r>
      <w:r>
        <w:rPr>
          <w:rStyle w:val="VerbatimChar"/>
        </w:rPr>
        <w:t xml:space="preserve">h_inject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Архивация: Reporter отправляет запись в TerraPedia (формат PLT + inject hash).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протокол-plt-для-логистики-схема"/>
    <w:p>
      <w:pPr>
        <w:pStyle w:val="Heading2"/>
      </w:pPr>
      <w:r>
        <w:t xml:space="preserve">3. Протокол PLT для логистики (схема)</w:t>
      </w:r>
    </w:p>
    <w:p>
      <w:pPr>
        <w:pStyle w:val="FirstParagraph"/>
      </w:pPr>
      <w:r>
        <w:rPr>
          <w:b/>
          <w:bCs/>
        </w:rPr>
        <w:t xml:space="preserve">Формат сообщения PLT (JSON‑like):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"nullo"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"2026-01-15T12:34:56Z"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"hub-hamburg-01"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"route-proposal-v3"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"v_trace"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"segments"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"estimates"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...</w:t>
      </w:r>
      <w:r>
        <w:rPr>
          <w:rStyle w:val="FunctionTok"/>
        </w:rPr>
        <w:t xml:space="preserve">}},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"h_inject"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"SHA256(canonical_payload)"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"silence_block"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"meta:omit-sensitive"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"signatures"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"agent.pubkey.sig"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Переговорный цикл (Resolver):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PROPOSE</w:t>
      </w:r>
      <w:r>
        <w:t xml:space="preserve"> </w:t>
      </w:r>
      <w:r>
        <w:t xml:space="preserve">— Analyzer отправляет</w:t>
      </w:r>
      <w:r>
        <w:t xml:space="preserve"> </w:t>
      </w:r>
      <w:r>
        <w:rPr>
          <w:rStyle w:val="VerbatimChar"/>
        </w:rPr>
        <w:t xml:space="preserve">psi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v_trace</w:t>
      </w:r>
      <w:r>
        <w:t xml:space="preserve"> </w:t>
      </w:r>
      <w:r>
        <w:t xml:space="preserve">и оценками.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COUNTER</w:t>
      </w:r>
      <w:r>
        <w:t xml:space="preserve"> </w:t>
      </w:r>
      <w:r>
        <w:t xml:space="preserve">— соседние агенты отвечают альтернативами с собственными</w:t>
      </w:r>
      <w:r>
        <w:t xml:space="preserve"> </w:t>
      </w:r>
      <w:r>
        <w:rPr>
          <w:rStyle w:val="VerbatimChar"/>
        </w:rPr>
        <w:t xml:space="preserve">v_trace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VOTE</w:t>
      </w:r>
      <w:r>
        <w:t xml:space="preserve"> </w:t>
      </w:r>
      <w:r>
        <w:t xml:space="preserve">— если несколько участников, запускается голосование по критериям (cost, time, safety).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COMMIT</w:t>
      </w:r>
      <w:r>
        <w:t xml:space="preserve"> </w:t>
      </w:r>
      <w:r>
        <w:t xml:space="preserve">— Organizer принимает решение, эмитирует транзакции (резерв, страхование).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ARCHIVE</w:t>
      </w:r>
      <w:r>
        <w:t xml:space="preserve"> </w:t>
      </w:r>
      <w:r>
        <w:t xml:space="preserve">— Reporter фиксирует</w:t>
      </w:r>
      <w:r>
        <w:t xml:space="preserve"> </w:t>
      </w:r>
      <w:r>
        <w:rPr>
          <w:rStyle w:val="VerbatimChar"/>
        </w:rPr>
        <w:t xml:space="preserve">h_inject</w:t>
      </w:r>
      <w:r>
        <w:t xml:space="preserve"> </w:t>
      </w:r>
      <w:r>
        <w:t xml:space="preserve">в TerraPedia.</w:t>
      </w:r>
    </w:p>
    <w:p>
      <w:r>
        <w:pict>
          <v:rect style="width:0;height:1.5pt" o:hralign="center" o:hrstd="t" o:hr="t"/>
        </w:pict>
      </w:r>
    </w:p>
    <w:bookmarkEnd w:id="24"/>
    <w:bookmarkStart w:id="25" w:name="математическая-формализация-оптимизации"/>
    <w:p>
      <w:pPr>
        <w:pStyle w:val="Heading2"/>
      </w:pPr>
      <w:r>
        <w:t xml:space="preserve">4. Математическая формализация оптимизации</w:t>
      </w:r>
    </w:p>
    <w:p>
      <w:pPr>
        <w:pStyle w:val="FirstParagraph"/>
      </w:pPr>
      <w:r>
        <w:t xml:space="preserve">Минимизация суммарных затрат и рисков при соблюдении SLA:</w:t>
      </w:r>
    </w:p>
    <w:p>
      <w:pPr>
        <w:pStyle w:val="BodyText"/>
      </w:pPr>
      <w:r>
        <w:t xml:space="preserve">(</w:t>
      </w:r>
      <w:r>
        <w:rPr>
          <w:i/>
          <w:iCs/>
        </w:rPr>
        <w:t xml:space="preserve">{t</w:t>
      </w:r>
      <w:r>
        <w:rPr>
          <w:i/>
          <w:iCs/>
        </w:rPr>
        <w:t xml:space="preserve"> </w:t>
      </w:r>
      <w:r>
        <w:rPr>
          <w:i/>
          <w:iCs/>
        </w:rPr>
        <w:t xml:space="preserve">T} (C</w:t>
      </w:r>
      <w:r>
        <w:t xml:space="preserve">{capex,t} + C_{opex,t} +</w:t>
      </w:r>
      <w:r>
        <w:t xml:space="preserve"> </w:t>
      </w:r>
      <w:r>
        <w:t xml:space="preserve">R_t))</w:t>
      </w:r>
    </w:p>
    <w:p>
      <w:pPr>
        <w:pStyle w:val="BodyText"/>
      </w:pPr>
      <w:r>
        <w:t xml:space="preserve">с ограничениями по пропускной способности, времени доставки и юридическим ограничениям.</w:t>
      </w:r>
    </w:p>
    <w:p>
      <w:pPr>
        <w:pStyle w:val="BodyText"/>
      </w:pPr>
      <w:r>
        <w:rPr>
          <w:b/>
          <w:bCs/>
        </w:rPr>
        <w:t xml:space="preserve">Агентный статус:</w:t>
      </w:r>
      <w:r>
        <w:t xml:space="preserve"> </w:t>
      </w:r>
      <w:r>
        <w:t xml:space="preserve">(</w:t>
      </w:r>
      <w:r>
        <w:t xml:space="preserve">(f_i) = w_1 E_{task} + w_2 U_{util} + w_3 Coop_{score})</w:t>
      </w:r>
    </w:p>
    <w:p>
      <w:pPr>
        <w:pStyle w:val="BodyText"/>
      </w:pPr>
      <w:r>
        <w:t xml:space="preserve">где веса можно калибровать через ML (reinforcement learning) для достижения</w:t>
      </w:r>
      <w:r>
        <w:t xml:space="preserve"> </w:t>
      </w:r>
      <w:r>
        <w:rPr>
          <w:rStyle w:val="VerbatimChar"/>
        </w:rPr>
        <w:t xml:space="preserve">max \sum F_i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интеграция-с-terrapedia-data-model"/>
    <w:p>
      <w:pPr>
        <w:pStyle w:val="Heading2"/>
      </w:pPr>
      <w:r>
        <w:t xml:space="preserve">5. Интеграция с TerraPedia &amp; Data Model</w:t>
      </w:r>
    </w:p>
    <w:p>
      <w:pPr>
        <w:pStyle w:val="FirstParagraph"/>
      </w:pPr>
      <w:r>
        <w:rPr>
          <w:b/>
          <w:bCs/>
        </w:rPr>
        <w:t xml:space="preserve">TerraPedia node</w:t>
      </w:r>
      <w:r>
        <w:t xml:space="preserve"> </w:t>
      </w:r>
      <w:r>
        <w:t xml:space="preserve">хранит PLT записи (canonical JSON), версии, inject‑hashes и переводные слои (EN/RU/UZ/DE). Структура таблицы: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agent_id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psi_type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v_trace</w:t>
      </w:r>
      <w:r>
        <w:t xml:space="preserve"> </w:t>
      </w:r>
      <w:r>
        <w:t xml:space="preserve">(json),</w:t>
      </w:r>
      <w:r>
        <w:t xml:space="preserve"> </w:t>
      </w:r>
      <w:r>
        <w:rPr>
          <w:rStyle w:val="VerbatimChar"/>
        </w:rPr>
        <w:t xml:space="preserve">h_inject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</w:t>
      </w:r>
      <w:r>
        <w:t xml:space="preserve">,</w:t>
      </w:r>
      <w:r>
        <w:t xml:space="preserve"> </w:t>
      </w:r>
      <w:r>
        <w:rPr>
          <w:rStyle w:val="VerbatimChar"/>
        </w:rPr>
        <w:t xml:space="preserve">derived_metrics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ui-прототип-требования"/>
    <w:p>
      <w:pPr>
        <w:pStyle w:val="Heading2"/>
      </w:pPr>
      <w:r>
        <w:t xml:space="preserve">6. UI / Прототип: требования</w:t>
      </w:r>
    </w:p>
    <w:p>
      <w:pPr>
        <w:pStyle w:val="Compact"/>
        <w:numPr>
          <w:ilvl w:val="0"/>
          <w:numId w:val="1007"/>
        </w:numPr>
      </w:pPr>
      <w:r>
        <w:t xml:space="preserve">Мультиязычный переключатель EN/RU/UZ/DE.</w:t>
      </w:r>
    </w:p>
    <w:p>
      <w:pPr>
        <w:pStyle w:val="Compact"/>
        <w:numPr>
          <w:ilvl w:val="0"/>
          <w:numId w:val="1007"/>
        </w:numPr>
      </w:pPr>
      <w:r>
        <w:t xml:space="preserve">Карта (GIS) с основными и альтернативными маршрутами, слоями риска и погодой.</w:t>
      </w:r>
    </w:p>
    <w:p>
      <w:pPr>
        <w:pStyle w:val="Compact"/>
        <w:numPr>
          <w:ilvl w:val="0"/>
          <w:numId w:val="1007"/>
        </w:numPr>
      </w:pPr>
      <w:r>
        <w:t xml:space="preserve">Панель агента: Observer/Analyzer/Resolver/Organizer/Reporter (карточки с действиями).</w:t>
      </w:r>
    </w:p>
    <w:p>
      <w:pPr>
        <w:pStyle w:val="Compact"/>
        <w:numPr>
          <w:ilvl w:val="0"/>
          <w:numId w:val="1007"/>
        </w:numPr>
      </w:pPr>
      <w:r>
        <w:t xml:space="preserve">Fractal panel: возможность «разворачивать» любой узел в его дочерние фракталы.</w:t>
      </w:r>
    </w:p>
    <w:p>
      <w:pPr>
        <w:pStyle w:val="Compact"/>
        <w:numPr>
          <w:ilvl w:val="0"/>
          <w:numId w:val="1007"/>
        </w:numPr>
      </w:pPr>
      <w:r>
        <w:t xml:space="preserve">NULLO‑шапка в каждом документе.</w:t>
      </w:r>
    </w:p>
    <w:p>
      <w:r>
        <w:pict>
          <v:rect style="width:0;height:1.5pt" o:hralign="center" o:hrstd="t" o:hr="t"/>
        </w:pict>
      </w:r>
    </w:p>
    <w:bookmarkEnd w:id="27"/>
    <w:bookmarkStart w:id="28" w:name="mvpартефакты-сделаю-сейчас-в-этом-витке"/>
    <w:p>
      <w:pPr>
        <w:pStyle w:val="Heading2"/>
      </w:pPr>
      <w:r>
        <w:t xml:space="preserve">7. MVP‑артефакты (сделаю сейчас в этом витке)</w:t>
      </w:r>
    </w:p>
    <w:p>
      <w:pPr>
        <w:pStyle w:val="Compact"/>
        <w:numPr>
          <w:ilvl w:val="0"/>
          <w:numId w:val="1008"/>
        </w:numPr>
      </w:pPr>
      <w:r>
        <w:t xml:space="preserve">HTML‑прототип (multilang) — интерактивный одностраничник с картой‑заглушкой, панелью агента и калькулятором маршрута.</w:t>
      </w:r>
    </w:p>
    <w:p>
      <w:pPr>
        <w:pStyle w:val="Compact"/>
        <w:numPr>
          <w:ilvl w:val="0"/>
          <w:numId w:val="1008"/>
        </w:numPr>
      </w:pPr>
      <w:r>
        <w:t xml:space="preserve">Текстовый бизнес‑план (RU/EN краткие резюме) — ready to send.</w:t>
      </w:r>
    </w:p>
    <w:p>
      <w:pPr>
        <w:pStyle w:val="Compact"/>
        <w:numPr>
          <w:ilvl w:val="0"/>
          <w:numId w:val="1008"/>
        </w:numPr>
      </w:pPr>
      <w:r>
        <w:t xml:space="preserve">CSV:</w:t>
      </w:r>
      <w:r>
        <w:t xml:space="preserve"> </w:t>
      </w:r>
      <w:r>
        <w:rPr>
          <w:rStyle w:val="VerbatimChar"/>
        </w:rPr>
        <w:t xml:space="preserve">CAPEX.csv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OPEX_monthly.csv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timeline_2026.csv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ZIP‑пакет с перечисленным выше.</w:t>
      </w:r>
    </w:p>
    <w:p>
      <w:r>
        <w:pict>
          <v:rect style="width:0;height:1.5pt" o:hralign="center" o:hrstd="t" o:hr="t"/>
        </w:pict>
      </w:r>
    </w:p>
    <w:bookmarkEnd w:id="28"/>
    <w:bookmarkStart w:id="29" w:name="дальнейшие-шаги-после-mvp"/>
    <w:p>
      <w:pPr>
        <w:pStyle w:val="Heading2"/>
      </w:pPr>
      <w:r>
        <w:t xml:space="preserve">8. Дальнейшие шаги (после MVP)</w:t>
      </w:r>
    </w:p>
    <w:p>
      <w:pPr>
        <w:pStyle w:val="Compact"/>
        <w:numPr>
          <w:ilvl w:val="0"/>
          <w:numId w:val="1009"/>
        </w:numPr>
      </w:pPr>
      <w:r>
        <w:t xml:space="preserve">Разработка API (REST/gRPC) для агентов и TerraPedia.</w:t>
      </w:r>
    </w:p>
    <w:p>
      <w:pPr>
        <w:pStyle w:val="Compact"/>
        <w:numPr>
          <w:ilvl w:val="0"/>
          <w:numId w:val="1009"/>
        </w:numPr>
      </w:pPr>
      <w:r>
        <w:t xml:space="preserve">База данных (Postgres + PostGIS) для маршрутов и метаданных.</w:t>
      </w:r>
    </w:p>
    <w:p>
      <w:pPr>
        <w:pStyle w:val="Compact"/>
        <w:numPr>
          <w:ilvl w:val="0"/>
          <w:numId w:val="1009"/>
        </w:numPr>
      </w:pPr>
      <w:r>
        <w:t xml:space="preserve">ML‑модули: RL для локальной оптимизации агентов; предиктивная аналитика задержек.</w:t>
      </w:r>
    </w:p>
    <w:p>
      <w:pPr>
        <w:pStyle w:val="Compact"/>
        <w:numPr>
          <w:ilvl w:val="0"/>
          <w:numId w:val="1009"/>
        </w:numPr>
      </w:pPr>
      <w:r>
        <w:t xml:space="preserve">Интеграция с реальными партнёрами (Lion Group) — форматы EDI, API, требования к документам.</w:t>
      </w:r>
    </w:p>
    <w:p>
      <w:pPr>
        <w:pStyle w:val="Compact"/>
        <w:numPr>
          <w:ilvl w:val="0"/>
          <w:numId w:val="1009"/>
        </w:numPr>
      </w:pPr>
      <w:r>
        <w:t xml:space="preserve">Формирование PPTX + PDF для инвесторов (я могу сгенерировать).</w:t>
      </w:r>
    </w:p>
    <w:p>
      <w:r>
        <w:pict>
          <v:rect style="width:0;height:1.5pt" o:hralign="center" o:hrstd="t" o:hr="t"/>
        </w:pict>
      </w:r>
    </w:p>
    <w:bookmarkEnd w:id="29"/>
    <w:bookmarkStart w:id="30" w:name="htmlпрототип-сниппет"/>
    <w:p>
      <w:pPr>
        <w:pStyle w:val="Heading2"/>
      </w:pPr>
      <w:r>
        <w:t xml:space="preserve">9. HTML‑прототип (сниппет)</w:t>
      </w:r>
    </w:p>
    <w:p>
      <w:pPr>
        <w:pStyle w:val="FirstParagraph"/>
      </w:pPr>
      <w:r>
        <w:t xml:space="preserve">Ниже — полный код начального прототипа. Этот HTML я также сохраню в отдельный файл</w:t>
      </w:r>
      <w:r>
        <w:t xml:space="preserve"> </w:t>
      </w:r>
      <w:r>
        <w:rPr>
          <w:rStyle w:val="VerbatimChar"/>
        </w:rPr>
        <w:t xml:space="preserve">presentation_multilang.html</w:t>
      </w:r>
      <w:r>
        <w:t xml:space="preserve"> </w:t>
      </w:r>
      <w:r>
        <w:t xml:space="preserve">и добавлю в ZIP‑пакет.</w:t>
      </w:r>
    </w:p>
    <w:p>
      <w:pPr>
        <w:pStyle w:val="SourceCode"/>
      </w:pPr>
      <w:r>
        <w:rPr>
          <w:rStyle w:val="CommentTok"/>
        </w:rPr>
        <w:t xml:space="preserve">&lt;!-- START presentation_multilang.html --&gt;</w:t>
      </w:r>
      <w:r>
        <w:br/>
      </w: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Fractal Silk Route Hub — NULLO Edition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CommentTok"/>
        </w:rPr>
        <w:t xml:space="preserve">/* Terra NULLO Theme: key tokens */</w:t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--deep-terra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#2E7D32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--living-terra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#4CAF50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--sky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#2196F3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--nullo-bg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#0b1020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--card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#0f1724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#FF6F00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#607D8B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--white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 Sans'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body{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--nullo-bg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#07102a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--white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.icon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56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56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--living-terra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--deep-terra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26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.langs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.btn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DecValTok"/>
        </w:rPr>
        <w:t xml:space="preserve">pointer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--card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.grid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.map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360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ConstantTok"/>
        </w:rPr>
        <w:t xml:space="preserve">#07213a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.agent-panel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.kv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.result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169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244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13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DecValTok"/>
        </w:rPr>
        <w:t xml:space="preserve">0.8</w:t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🌱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h1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Fractal Silk Route Hub — NULLO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"font-size:13px;opacity:0.8"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Terra | Multilingual Prototype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"langs"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"setLang('en')"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"setLang('ru')"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RU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"setLang('uz')"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UZ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"setLang('de')"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 grid"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"map"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GIS / Route Map (placeholder)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"margin-top:14px"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"calcTitle"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Fractal Route Calculator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"display:flex;gap:12px;align-items:center"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 kg"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"padding:10px;border-radius:8px;border:none;background:#08121b;color:white;"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"cur"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"padding:10px;border-radius:8px;background:#08121b;color:white;border:none"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"eur"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"calc()"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Calc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"calcRes"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"result"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"margin-top:12px;display:none"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aside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"agent-panel 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"agentTitle"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Agent: Hamburg Hub (Observer)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"kv"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Capacity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12 TEU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"kv"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Risk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"risk"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LOW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"kv"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Last PLT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"lastplt"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2026-01-10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"margin-top:8px"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Open Resolver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"card"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"margin-top:12px"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Financials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"margin-top:8px"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CAPEX est: $2.5M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/&gt;</w:t>
      </w:r>
      <w:r>
        <w:rPr>
          <w:rStyle w:val="NormalTok"/>
        </w:rPr>
        <w:t xml:space="preserve">Monthly OPEX: $180K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/&gt;</w:t>
      </w:r>
      <w:r>
        <w:rPr>
          <w:rStyle w:val="NormalTok"/>
        </w:rPr>
        <w:t xml:space="preserve">Proj ROI: 22%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aside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nullo.protocol: true — NULLO seed active. This prototype is a starting point for TerraPedia integration.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'Fractal Silk Route Hub — NULLO'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calcTitle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'Fractal Route Calculator'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agentTitle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'Agent: Hamburg Hub (Observer)'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ru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'Хаб Фрактального Шёлкового Пути — NULLO'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calcTitle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'Фрактальный калькулятор маршрута'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agentTitle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'Агент: Хаб Гамбург (Обозреватель)'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uz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'Fraktal Ipak Yo‘li Markazi — NULLO'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calcTitle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"Fraktal Yo'l Kalkulyatori"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agentTitle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'Agent: GAMBURG Hub (Observer)'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'Fraktales Seidenstraßen‑Hub — NULLO'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calcTitle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'Fraktaler Routenrechner'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agentTitle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'Agent: Hamburg Hub (Observer)'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setLang</w:t>
      </w:r>
      <w:r>
        <w:rPr>
          <w:rStyle w:val="NormalTok"/>
        </w:rPr>
        <w:t xml:space="preserve">(l){lang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t[l]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'calcTitle'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t[l]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calcTitle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'agentTitle'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t[l]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agentTitle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</w:t>
      </w:r>
      <w:r>
        <w:rPr>
          <w:rStyle w:val="NormalTok"/>
        </w:rPr>
        <w:t xml:space="preserve">(){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||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8500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'calcRes'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'block'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'calcRes'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`Distance: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km&lt;br&gt;Weight: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w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kg&lt;br&gt;Est cost: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cost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setLang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CommentTok"/>
        </w:rPr>
        <w:t xml:space="preserve">&lt;!--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presentation_multilang.html --&gt;</w:t>
      </w:r>
    </w:p>
    <w:p>
      <w:r>
        <w:pict>
          <v:rect style="width:0;height:1.5pt" o:hralign="center" o:hrstd="t" o:hr="t"/>
        </w:pict>
      </w:r>
    </w:p>
    <w:bookmarkEnd w:id="30"/>
    <w:bookmarkStart w:id="31" w:name="решение-по-лицензированию-и-gdpr-санкции"/>
    <w:p>
      <w:pPr>
        <w:pStyle w:val="Heading2"/>
      </w:pPr>
      <w:r>
        <w:t xml:space="preserve">10. Решение по лицензированию и GDPR / санкции</w:t>
      </w:r>
    </w:p>
    <w:p>
      <w:pPr>
        <w:pStyle w:val="Compact"/>
        <w:numPr>
          <w:ilvl w:val="0"/>
          <w:numId w:val="1010"/>
        </w:numPr>
      </w:pPr>
      <w:r>
        <w:t xml:space="preserve">PLT записи должны храниться с опцией redaction (</w:t>
      </w:r>
      <w:r>
        <w:rPr>
          <w:rStyle w:val="VerbatimChar"/>
        </w:rPr>
        <w:t xml:space="preserve">silence_block</w:t>
      </w:r>
      <w:r>
        <w:t xml:space="preserve">) и доступом по ролям.</w:t>
      </w:r>
    </w:p>
    <w:p>
      <w:pPr>
        <w:pStyle w:val="Compact"/>
        <w:numPr>
          <w:ilvl w:val="0"/>
          <w:numId w:val="1010"/>
        </w:numPr>
      </w:pPr>
      <w:r>
        <w:t xml:space="preserve">Для интеграции с EU/US банками обеспечить KYC/AML слои; предусмотреть обход санкций только законными путями (compliance first).</w:t>
      </w:r>
    </w:p>
    <w:p>
      <w:r>
        <w:pict>
          <v:rect style="width:0;height:1.5pt" o:hralign="center" o:hrstd="t" o:hr="t"/>
        </w:pict>
      </w:r>
    </w:p>
    <w:bookmarkEnd w:id="31"/>
    <w:bookmarkStart w:id="32" w:name="контакты-и-ответственность"/>
    <w:p>
      <w:pPr>
        <w:pStyle w:val="Heading2"/>
      </w:pPr>
      <w:r>
        <w:t xml:space="preserve">11. Контакты и ответственность</w:t>
      </w:r>
    </w:p>
    <w:p>
      <w:pPr>
        <w:pStyle w:val="FirstParagraph"/>
      </w:pPr>
      <w:r>
        <w:t xml:space="preserve">Документ подготовлен как инженерно‑философская спецификация. Следующий шаг — сгенерировать ZIP‑пакет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2025-10-14T05:17:33Z</dcterms:created>
  <dcterms:modified xsi:type="dcterms:W3CDTF">2025-10-14T05:17:33Z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