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f854455023e9ab3d35d16a224272e65b102607"/>
    <w:p>
      <w:pPr>
        <w:pStyle w:val="Heading1"/>
      </w:pPr>
      <w:r>
        <w:t xml:space="preserve">ESG и устойчивое развитие в горнодобывающей отрасли Узбекистана: научно-практический анализ и кейс-стади</w:t>
      </w:r>
    </w:p>
    <w:bookmarkStart w:id="27" w:name="X3b9687218cca7714f17391f1c44f54eb9b07a23"/>
    <w:p>
      <w:pPr>
        <w:pStyle w:val="Heading2"/>
      </w:pPr>
      <w:r>
        <w:t xml:space="preserve">1. Введение (расширенная версия — историко‑терминологический и методологический контекст)</w:t>
      </w:r>
    </w:p>
    <w:bookmarkStart w:id="20" w:name="цель-раздела-и-задачи-статьи"/>
    <w:p>
      <w:pPr>
        <w:pStyle w:val="Heading3"/>
      </w:pPr>
      <w:r>
        <w:t xml:space="preserve">1.1. Цель раздела и задачи статьи</w:t>
      </w:r>
    </w:p>
    <w:p>
      <w:pPr>
        <w:pStyle w:val="FirstParagraph"/>
      </w:pPr>
      <w:r>
        <w:t xml:space="preserve">Цель настоящей статьи — предложить научно‑практический, документально обоснованный анализ внедрения принципов экологической, социальной и управленческой ответственности (ESG) в горнодобывающей отрасли Республики Узбекистан, с фокусом на крупных промышленных игроках (НГМК, АГМК, «Навоий Уран») и возможностях масштабирования успешных пилотных решений на средние и малые предприятия. Задачи раздела: (1) дать историко‑культурный и технологический контекст формирования горнорудной отрасли региона; (2) формализовать и уточнить используемую терминологию («зелёная экономика», ESG, ВИЭ, круговая экономика и пр.); (3) обозначить методологию исследования, источниковую базу и критерии верификации фактов.</w:t>
      </w:r>
    </w:p>
    <w:bookmarkEnd w:id="20"/>
    <w:bookmarkStart w:id="21" w:name="Xaf0b6b894f985c452a2552bf91bc4720f32d634"/>
    <w:p>
      <w:pPr>
        <w:pStyle w:val="Heading3"/>
      </w:pPr>
      <w:r>
        <w:t xml:space="preserve">1.2. Почему это важно: проблематика и практический интерес</w:t>
      </w:r>
    </w:p>
    <w:p>
      <w:pPr>
        <w:pStyle w:val="FirstParagraph"/>
      </w:pPr>
      <w:r>
        <w:t xml:space="preserve">Горнодобывающая отрасль остаётся одной из ключевых для экономического развития Узбекистана: она формирует экспортные потоки, налоговую базу и рабочие места, одновременно предъявляя серьёзные экологические и социальные требования (водопотребление в засушливых регионах, обращение с техногенными отходами, воздействие на биоразнообразие и здоровье сотрудников). В этих условиях переход к практикам ESG становится не только императивом соответствия международным стандартам, но и инструментом повышения операционной эффективности, снижения регуляторных рисков и доступа к «зелёному» финансированию.</w:t>
      </w:r>
    </w:p>
    <w:p>
      <w:pPr>
        <w:pStyle w:val="BodyText"/>
      </w:pPr>
      <w:r>
        <w:t xml:space="preserve">Практическая важность темы выражается в трёх измерениях: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Экономическом</w:t>
      </w:r>
      <w:r>
        <w:t xml:space="preserve"> </w:t>
      </w:r>
      <w:r>
        <w:t xml:space="preserve">— снижение затрат за счёт энергоэффективности, уменьшение штрафов и реструктуризация цепочек поставок; доступ к нижеразмерным и долгосрочным «зелёным» кредитам и облигациям.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Окружающая среда</w:t>
      </w:r>
      <w:r>
        <w:t xml:space="preserve"> </w:t>
      </w:r>
      <w:r>
        <w:t xml:space="preserve">— уменьшение потребления пресной воды, сокращение выбросов парниковых газов и локальных загрязнений, повышение качества рекультивации нарушенных земель.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Социальном и управленческом</w:t>
      </w:r>
      <w:r>
        <w:t xml:space="preserve"> </w:t>
      </w:r>
      <w:r>
        <w:t xml:space="preserve">— улучшение условий труда, прозрачность управления, повышение доверия со стороны местных сообществ и инвесторов.</w:t>
      </w:r>
    </w:p>
    <w:bookmarkEnd w:id="21"/>
    <w:bookmarkStart w:id="22" w:name="X66ae1463626458c575a347180ce4e8f6841e2a0"/>
    <w:p>
      <w:pPr>
        <w:pStyle w:val="Heading3"/>
      </w:pPr>
      <w:r>
        <w:t xml:space="preserve">1.3. Краткая историческая справка (контекст происхождения горнорудной деятельности и металлургии в регионе)</w:t>
      </w:r>
    </w:p>
    <w:p>
      <w:pPr>
        <w:pStyle w:val="FirstParagraph"/>
      </w:pPr>
      <w:r>
        <w:t xml:space="preserve">Территория современного Узбекистана и прилегающих регионов Центральной Азии содержит одни из древнейших свидетельств добычи и переработки металлов. Парадигма «региона‑как‑ресурсной‑основы» прослеживается через следующие этапы (схематично):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Неолит и энеолит (первые металлоизделия, ранняя керамика и обжиг)</w:t>
      </w:r>
      <w:r>
        <w:t xml:space="preserve"> </w:t>
      </w:r>
      <w:r>
        <w:t xml:space="preserve">— локальные источники меди и рудной сырьевой базы задействованы в локальных хозяйствах.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Бронзовый век (Андроновская и связанные культуры)</w:t>
      </w:r>
      <w:r>
        <w:t xml:space="preserve"> </w:t>
      </w:r>
      <w:r>
        <w:t xml:space="preserve">— систематическое распространение металлургии, кованых изделий, развитие ремесленных центров и торговых связей.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Античность и раннее средневековье (Бактрия, Согдиана)</w:t>
      </w:r>
      <w:r>
        <w:t xml:space="preserve"> </w:t>
      </w:r>
      <w:r>
        <w:t xml:space="preserve">— интенсивное использование местных минералов (лазурит, медь, серебро) и формирование маршрутов торговли, которые позднее интегрировались в Шёлковый путь.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Средневековый период (исламский ренессанс)</w:t>
      </w:r>
      <w:r>
        <w:t xml:space="preserve"> </w:t>
      </w:r>
      <w:r>
        <w:t xml:space="preserve">— развитие металлургии, горного дела и химических ремёсел (работы Беруни, алхимические опыты, металлургические трактаты); технологические достижения в ковке, выплавке и обработке металлов способствовали военной и экономической мощи региональных образований.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Новая и новейшая история</w:t>
      </w:r>
      <w:r>
        <w:t xml:space="preserve"> </w:t>
      </w:r>
      <w:r>
        <w:t xml:space="preserve">— интенсивная промышленная добыча в XIX–XX веках, далее — масштабная советская индустриализация и формирование крупных промышленных комбинатов; открытие и разработка крупных месторождений золота, меди и урана в XX веке.</w:t>
      </w:r>
    </w:p>
    <w:p>
      <w:pPr>
        <w:pStyle w:val="FirstParagraph"/>
      </w:pPr>
      <w:r>
        <w:t xml:space="preserve">Этот исторический контекст важен потому, что многие современные вызовы (расположение рудников, гидрогеологические особенности, сеть транспортных коммуникаций, традиции ремесла) являются прямым результатом долгой исторической эволюции отрасли.</w:t>
      </w:r>
    </w:p>
    <w:p>
      <w:pPr>
        <w:pStyle w:val="BodyText"/>
      </w:pPr>
      <w:r>
        <w:rPr>
          <w:b/>
          <w:bCs/>
        </w:rPr>
        <w:t xml:space="preserve">Примечание методологическое.</w:t>
      </w:r>
      <w:r>
        <w:t xml:space="preserve"> </w:t>
      </w:r>
      <w:r>
        <w:t xml:space="preserve">При окончательной подготовке монографии каждый исторический тезис подлежит подтверждению минимум тремя рецензируемыми или архивными источниками (исторические монографии, археологические отчёты, региональные гидрогеологические карты). В итоговом разделе «Приложения» будут собраны первоисточники и ссылки.</w:t>
      </w:r>
    </w:p>
    <w:bookmarkEnd w:id="22"/>
    <w:bookmarkStart w:id="23" w:name="терминология-и-рамки-исследования"/>
    <w:p>
      <w:pPr>
        <w:pStyle w:val="Heading3"/>
      </w:pPr>
      <w:r>
        <w:t xml:space="preserve">1.4. Терминология и рамки исследования</w:t>
      </w:r>
    </w:p>
    <w:p>
      <w:pPr>
        <w:pStyle w:val="FirstParagraph"/>
      </w:pPr>
      <w:r>
        <w:t xml:space="preserve">В работе используются следующие понятия (определены операционно в целях сопоставимости результатов):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ESG (Environmental, Social, Governance)</w:t>
      </w:r>
      <w:r>
        <w:t xml:space="preserve"> </w:t>
      </w:r>
      <w:r>
        <w:t xml:space="preserve">— интегрированная система показателей, охватывающая экологическую устойчивость, социальную ответственность и корпоративное управление. В статье под ESG понимается совокупность практик и метрик, совместимых с международными стандартами GRI, SASB и TCFD.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Зелёная экономика</w:t>
      </w:r>
      <w:r>
        <w:t xml:space="preserve"> </w:t>
      </w:r>
      <w:r>
        <w:t xml:space="preserve">— экономическая модель, при которой экономический рост отделён от деградации окружающей среды; включает рыночные стимулы и государственные регуляторы, способствующие низкоуглеродной экономике.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Возобновляемые источники энергии (ВИЭ)</w:t>
      </w:r>
      <w:r>
        <w:t xml:space="preserve"> </w:t>
      </w:r>
      <w:r>
        <w:t xml:space="preserve">— энергия ветра, солнца, биомассы и других возобновляемых ресурсов, используемых в производственных процессах и вспомогательной инфраструктуре.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Круговая экономика (circular economy)</w:t>
      </w:r>
      <w:r>
        <w:t xml:space="preserve"> </w:t>
      </w:r>
      <w:r>
        <w:t xml:space="preserve">— подход, предполагающий минимизацию отходов за счёт повторного использования, восстановления и переработки материалов.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Пилотный проект / масштабируемый пилот</w:t>
      </w:r>
      <w:r>
        <w:t xml:space="preserve"> </w:t>
      </w:r>
      <w:r>
        <w:t xml:space="preserve">— техническое или организационное решение, внедрённое в ограниченном объёме с целью верификации технической, экономической и социальной состоятельности перед масштабированием.</w:t>
      </w:r>
    </w:p>
    <w:p>
      <w:pPr>
        <w:pStyle w:val="FirstParagraph"/>
      </w:pPr>
      <w:r>
        <w:t xml:space="preserve">Все применяемые в тексте KPI и методики расчётов будут приводиться в разделе «Методология» и в приложениях (формулы расчётов, исходные ценовые допущения, единицы измерения).</w:t>
      </w:r>
    </w:p>
    <w:bookmarkEnd w:id="23"/>
    <w:bookmarkStart w:id="24" w:name="источниковая-база-и-методология"/>
    <w:p>
      <w:pPr>
        <w:pStyle w:val="Heading3"/>
      </w:pPr>
      <w:r>
        <w:t xml:space="preserve">1.5. Источниковая база и методология</w:t>
      </w:r>
    </w:p>
    <w:p>
      <w:pPr>
        <w:pStyle w:val="FirstParagraph"/>
      </w:pPr>
      <w:r>
        <w:t xml:space="preserve">Исследование опирается на многослойную источниковую базу: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Корпоративные документы</w:t>
      </w:r>
      <w:r>
        <w:t xml:space="preserve"> </w:t>
      </w:r>
      <w:r>
        <w:t xml:space="preserve">— годовые и ESG/устойчивые отчёты НГМК, АГМК, «Навоий Уран» (официальные публикации предприятия); внутренние технические паспорта пилотных проектов (по возможности, с согласия владельцев).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Международные отчёты и базы данных</w:t>
      </w:r>
      <w:r>
        <w:t xml:space="preserve"> </w:t>
      </w:r>
      <w:r>
        <w:t xml:space="preserve">— World Bank, IEA, UNDP, GEF, ADB, а также рейтинговые агентства и стандарты (GRI, SASB, TCFD, LBMA) для сопоставления метрик.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Академическая литература</w:t>
      </w:r>
      <w:r>
        <w:t xml:space="preserve"> </w:t>
      </w:r>
      <w:r>
        <w:t xml:space="preserve">— монографии и статьи по горному делу, истории металлургии, экономике природных ресурсов и политике устойчивого развития (включая сборники Springer, Elsevier и прочие профильные издательства).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Государственные документы</w:t>
      </w:r>
      <w:r>
        <w:t xml:space="preserve"> </w:t>
      </w:r>
      <w:r>
        <w:t xml:space="preserve">— стратегии и указы Республики Узбекистан по энергетике, водным ресурсам, экологической политике и промышленности.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Полевые данные и интервью</w:t>
      </w:r>
      <w:r>
        <w:t xml:space="preserve"> </w:t>
      </w:r>
      <w:r>
        <w:t xml:space="preserve">— результаты (когда доступны) интервью с практиками, отчёты мониторинга, лабораторные протоколы.</w:t>
      </w:r>
    </w:p>
    <w:p>
      <w:pPr>
        <w:pStyle w:val="FirstParagraph"/>
      </w:pPr>
      <w:r>
        <w:rPr>
          <w:b/>
          <w:bCs/>
        </w:rPr>
        <w:t xml:space="preserve">Методы анализа</w:t>
      </w:r>
      <w:r>
        <w:t xml:space="preserve">: описательный и сравнительный анализ, количественная оценка по KPI (энергетика, вода, СО₂‑экв.), кейс‑стади, риск‑анализ и моделирование (простые чувствительные расчёты CAPEX/OPEX; в разделе моделирования будет предложен toolbox для agent‑based и system dynamics моделирования).</w:t>
      </w:r>
    </w:p>
    <w:bookmarkEnd w:id="24"/>
    <w:bookmarkStart w:id="25" w:name="X3d58e3c02d5e13d395f75e0d9912798c1d47ee2"/>
    <w:p>
      <w:pPr>
        <w:pStyle w:val="Heading3"/>
      </w:pPr>
      <w:r>
        <w:t xml:space="preserve">1.6. Ограничения исследования и принцип прозрачности</w:t>
      </w:r>
    </w:p>
    <w:p>
      <w:pPr>
        <w:pStyle w:val="FirstParagraph"/>
      </w:pPr>
      <w:r>
        <w:t xml:space="preserve">Исследование признаёт следующие ограничения:</w:t>
      </w:r>
    </w:p>
    <w:p>
      <w:pPr>
        <w:pStyle w:val="Compact"/>
        <w:numPr>
          <w:ilvl w:val="0"/>
          <w:numId w:val="1005"/>
        </w:numPr>
      </w:pPr>
      <w:r>
        <w:t xml:space="preserve">Различный уровень открытости корпоративной отчётности между компаниями и странами (чтобы обеспечить сопоставимость, будем использовать только стандартизированные метрики или приводить к сопоставимому виду).</w:t>
      </w:r>
    </w:p>
    <w:p>
      <w:pPr>
        <w:pStyle w:val="Compact"/>
        <w:numPr>
          <w:ilvl w:val="0"/>
          <w:numId w:val="1005"/>
        </w:numPr>
      </w:pPr>
      <w:r>
        <w:t xml:space="preserve">Возможные несовпадения в методиках расчёта (например, учёт эмиссий Scope 1–3); в каждом конкретном случае методика расчёта будет явно указана.</w:t>
      </w:r>
    </w:p>
    <w:p>
      <w:pPr>
        <w:pStyle w:val="Compact"/>
        <w:numPr>
          <w:ilvl w:val="0"/>
          <w:numId w:val="1005"/>
        </w:numPr>
      </w:pPr>
      <w:r>
        <w:t xml:space="preserve">Часть внутренних корпоративных материалов может считаться конфиденциальной; в таком случае мы будем приводить агрегированные данные и/или пользоваться обобщёнными показателями.</w:t>
      </w:r>
    </w:p>
    <w:bookmarkEnd w:id="25"/>
    <w:bookmarkStart w:id="26" w:name="X7dcad03e6b7aed7a768d81d6c8fcd1473ed09da"/>
    <w:p>
      <w:pPr>
        <w:pStyle w:val="Heading3"/>
      </w:pPr>
      <w:r>
        <w:t xml:space="preserve">1.7. Структура статьи и логика подачи (фрактальная упаковка)</w:t>
      </w:r>
    </w:p>
    <w:p>
      <w:pPr>
        <w:pStyle w:val="FirstParagraph"/>
      </w:pPr>
      <w:r>
        <w:t xml:space="preserve">Статья структурирована так, чтобы каждая секция представляла собой «микро‑версию» общей логики: контекст → локальные данные → международный пример → аналитический вывод → практическая рекомендация. Эта форма упрощает чтение и позволяет использовать отдельные секции как автономные «карточки» для менеджмента.</w:t>
      </w:r>
    </w:p>
    <w:p>
      <w:pPr>
        <w:pStyle w:val="BodyText"/>
      </w:pPr>
      <w:r>
        <w:t xml:space="preserve">Краткая навигация по основной части:</w:t>
      </w:r>
    </w:p>
    <w:p>
      <w:pPr>
        <w:pStyle w:val="Compact"/>
        <w:numPr>
          <w:ilvl w:val="0"/>
          <w:numId w:val="1006"/>
        </w:numPr>
      </w:pPr>
      <w:r>
        <w:t xml:space="preserve">Введение (настоящее расширение)</w:t>
      </w:r>
    </w:p>
    <w:p>
      <w:pPr>
        <w:pStyle w:val="Compact"/>
        <w:numPr>
          <w:ilvl w:val="0"/>
          <w:numId w:val="1006"/>
        </w:numPr>
      </w:pPr>
      <w:r>
        <w:t xml:space="preserve">Кейс‑стади по предприятиям Узбекистана (НГМК, АГМК, «Навоий Уран»): технологии, показатели, статус проектов</w:t>
      </w:r>
    </w:p>
    <w:p>
      <w:pPr>
        <w:pStyle w:val="Compact"/>
        <w:numPr>
          <w:ilvl w:val="0"/>
          <w:numId w:val="1006"/>
        </w:numPr>
      </w:pPr>
      <w:r>
        <w:t xml:space="preserve">Государственная политика и институциональная среда Узбекистана</w:t>
      </w:r>
    </w:p>
    <w:p>
      <w:pPr>
        <w:pStyle w:val="Compact"/>
        <w:numPr>
          <w:ilvl w:val="0"/>
          <w:numId w:val="1006"/>
        </w:numPr>
      </w:pPr>
      <w:r>
        <w:t xml:space="preserve">Рынок, реформы и государственно‑частное партнёрство</w:t>
      </w:r>
    </w:p>
    <w:p>
      <w:pPr>
        <w:pStyle w:val="Compact"/>
        <w:numPr>
          <w:ilvl w:val="0"/>
          <w:numId w:val="1006"/>
        </w:numPr>
      </w:pPr>
      <w:r>
        <w:t xml:space="preserve">Международные сравнения и бенчмаркинг</w:t>
      </w:r>
    </w:p>
    <w:p>
      <w:pPr>
        <w:pStyle w:val="Compact"/>
        <w:numPr>
          <w:ilvl w:val="0"/>
          <w:numId w:val="1006"/>
        </w:numPr>
      </w:pPr>
      <w:r>
        <w:t xml:space="preserve">Глубокие кейсы НГМК (вода из воздуха, Clean Burn, биогаз, гибридные микросети)</w:t>
      </w:r>
    </w:p>
    <w:p>
      <w:pPr>
        <w:pStyle w:val="Compact"/>
        <w:numPr>
          <w:ilvl w:val="0"/>
          <w:numId w:val="1006"/>
        </w:numPr>
      </w:pPr>
      <w:r>
        <w:t xml:space="preserve">Моделирование и методики оценки (KPI, верификация)</w:t>
      </w:r>
    </w:p>
    <w:p>
      <w:pPr>
        <w:pStyle w:val="Compact"/>
        <w:numPr>
          <w:ilvl w:val="0"/>
          <w:numId w:val="1006"/>
        </w:numPr>
      </w:pPr>
      <w:r>
        <w:t xml:space="preserve">Риски и меры их нейтрализации</w:t>
      </w:r>
    </w:p>
    <w:p>
      <w:pPr>
        <w:pStyle w:val="Compact"/>
        <w:numPr>
          <w:ilvl w:val="0"/>
          <w:numId w:val="1006"/>
        </w:numPr>
      </w:pPr>
      <w:r>
        <w:t xml:space="preserve">Практические рекомендации и дорожная матрица проектов/политик</w:t>
      </w:r>
    </w:p>
    <w:p>
      <w:pPr>
        <w:pStyle w:val="Compact"/>
        <w:numPr>
          <w:ilvl w:val="0"/>
          <w:numId w:val="1006"/>
        </w:numPr>
      </w:pPr>
      <w:r>
        <w:t xml:space="preserve">Заключение и призыв к действию</w:t>
      </w:r>
    </w:p>
    <w:p>
      <w:pPr>
        <w:pStyle w:val="Compact"/>
        <w:numPr>
          <w:ilvl w:val="0"/>
          <w:numId w:val="1006"/>
        </w:numPr>
      </w:pPr>
      <w:r>
        <w:t xml:space="preserve">Приложения: технические паспорта, расчёты CAPEX/OPEX (Excel), законодательные выдержки, библиография и список источников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Далее: после вашего подтверждения я начну развёрнутое наполнение секции 2 (Кейс‑стади по предприятиям Узбекистана) — сначала НГМК: подробная история компании, текущая структура активов, существующие ESG‑проекты с конкретными метриками, технические паспортные данные пилотных установок (гелиоколлекторы, биогаз, Watergen и пр.), а также таблицы и диаграммы. Все факты будут сопровождаться пометками‑ссылками на первоисточники и верифицирующими документами в соответствии с академическим стилем (APA7) и требованиями профильных издательств.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2025-09-28T07:08:57Z</dcterms:created>
  <dcterms:modified xsi:type="dcterms:W3CDTF">2025-09-28T07:08:57Z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