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sz w:val="28"/>
          <w:szCs w:val="28"/>
        </w:rPr>
        <w:t xml:space="preserve">ЎЗБЕКИСТОН МИЛЛИЙ УНИВЕРСИТЕТИ</w:t>
      </w:r>
    </w:p>
    <w:p>
      <w:pPr>
        <w:spacing w:after="80" w:before="80"/>
        <w:jc w:val="center"/>
      </w:pPr>
      <w:r>
        <w:rPr>
          <w:rFonts w:ascii="Times New Roman" w:cs="Times New Roman" w:eastAsia="Times New Roman" w:hAnsi="Times New Roman"/>
          <w:sz w:val="28"/>
          <w:szCs w:val="28"/>
        </w:rPr>
        <w:t xml:space="preserve">Диншунослик ва маданиятшунослик кафедраси</w:t>
      </w:r>
    </w:p>
    <w:p>
      <w:pPr>
        <w:spacing w:before="40"/>
      </w:pPr>
      <w:r>
        <w:t xml:space="preserve"/>
      </w:r>
    </w:p>
    <w:p>
      <w:pPr>
        <w:spacing w:after="80" w:before="80"/>
        <w:jc w:val="center"/>
      </w:pPr>
      <w:r>
        <w:rPr>
          <w:rFonts w:ascii="Times New Roman" w:cs="Times New Roman" w:eastAsia="Times New Roman" w:hAnsi="Times New Roman"/>
          <w:i/>
          <w:iCs/>
          <w:sz w:val="28"/>
          <w:szCs w:val="28"/>
        </w:rPr>
        <w:t xml:space="preserve">«Ўзбек тили ва адабиёти» журналига тақдим этилади</w:t>
      </w:r>
    </w:p>
    <w:p>
      <w:pPr>
        <w:spacing w:before="40"/>
      </w:pPr>
      <w:r>
        <w:t xml:space="preserve"/>
      </w:r>
    </w:p>
    <w:p>
      <w:pPr>
        <w:pBdr>
          <w:bottom w:val="single" w:color="1A3A5C" w:sz="6" w:space="4"/>
        </w:pBdr>
        <w:spacing w:before="120"/>
      </w:pPr>
      <w:r>
        <w:t xml:space="preserve"/>
      </w:r>
    </w:p>
    <w:p>
      <w:pPr>
        <w:spacing w:before="40"/>
      </w:pPr>
      <w:r>
        <w:t xml:space="preserve"/>
      </w:r>
    </w:p>
    <w:p>
      <w:pPr>
        <w:spacing w:after="80" w:before="80"/>
        <w:jc w:val="center"/>
      </w:pPr>
      <w:r>
        <w:rPr>
          <w:rFonts w:ascii="Times New Roman" w:cs="Times New Roman" w:eastAsia="Times New Roman" w:hAnsi="Times New Roman"/>
          <w:sz w:val="28"/>
          <w:szCs w:val="28"/>
        </w:rPr>
        <w:t xml:space="preserve">УДК 811.512.133:338.48</w:t>
      </w:r>
    </w:p>
    <w:p>
      <w:pPr>
        <w:spacing w:before="40"/>
      </w:pPr>
      <w:r>
        <w:t xml:space="preserve"/>
      </w:r>
    </w:p>
    <w:p>
      <w:pPr>
        <w:spacing w:after="80" w:before="200"/>
        <w:jc w:val="center"/>
      </w:pPr>
      <w:r>
        <w:rPr>
          <w:rFonts w:ascii="Times New Roman" w:cs="Times New Roman" w:eastAsia="Times New Roman" w:hAnsi="Times New Roman"/>
          <w:b/>
          <w:bCs/>
          <w:sz w:val="32"/>
          <w:szCs w:val="32"/>
        </w:rPr>
        <w:t xml:space="preserve">ЎЗБЕК ТИЛИДА ЗИЁРАТ ТУРИЗМИ ТЕРМИНОЛОГИЯСИНИ УНИФИКАЦИЯЛАШ МУАММОЛАРИ</w:t>
      </w:r>
    </w:p>
    <w:p>
      <w:pPr>
        <w:spacing w:after="40" w:before="40"/>
        <w:jc w:val="center"/>
      </w:pPr>
      <w:r>
        <w:rPr>
          <w:rFonts w:ascii="Times New Roman" w:cs="Times New Roman" w:eastAsia="Times New Roman" w:hAnsi="Times New Roman"/>
          <w:i/>
          <w:iCs/>
          <w:sz w:val="24"/>
          <w:szCs w:val="24"/>
        </w:rPr>
        <w:t xml:space="preserve">Problems of Unification of Ziyarat Tourism Terminology in Uzbek Language</w:t>
      </w:r>
    </w:p>
    <w:p>
      <w:pPr>
        <w:spacing w:after="120" w:before="40"/>
        <w:jc w:val="center"/>
      </w:pPr>
      <w:r>
        <w:rPr>
          <w:rFonts w:ascii="Times New Roman" w:cs="Times New Roman" w:eastAsia="Times New Roman" w:hAnsi="Times New Roman"/>
          <w:i/>
          <w:iCs/>
          <w:sz w:val="24"/>
          <w:szCs w:val="24"/>
        </w:rPr>
        <w:t xml:space="preserve">Проблемы унификации терминологии зиёрат-туризма в узбекском языке</w:t>
      </w:r>
    </w:p>
    <w:p>
      <w:pPr>
        <w:pBdr>
          <w:bottom w:val="single" w:color="1A3A5C" w:sz="6" w:space="4"/>
        </w:pBdr>
        <w:spacing w:before="120"/>
      </w:pPr>
      <w:r>
        <w:t xml:space="preserve"/>
      </w:r>
    </w:p>
    <w:p>
      <w:pPr>
        <w:spacing w:before="40"/>
      </w:pPr>
      <w:r>
        <w:t xml:space="preserve"/>
      </w:r>
    </w:p>
    <w:p>
      <w:pPr>
        <w:spacing w:after="40" w:before="40"/>
        <w:jc w:val="right"/>
      </w:pPr>
      <w:r>
        <w:rPr>
          <w:rFonts w:ascii="Times New Roman" w:cs="Times New Roman" w:eastAsia="Times New Roman" w:hAnsi="Times New Roman"/>
          <w:b/>
          <w:bCs/>
          <w:sz w:val="28"/>
          <w:szCs w:val="28"/>
        </w:rPr>
        <w:t xml:space="preserve">Тиллябаева Гулсум Баҳодировна</w:t>
      </w:r>
    </w:p>
    <w:p>
      <w:pPr>
        <w:spacing w:after="40" w:before="40"/>
        <w:jc w:val="right"/>
      </w:pPr>
      <w:r>
        <w:rPr>
          <w:rFonts w:ascii="Times New Roman" w:cs="Times New Roman" w:eastAsia="Times New Roman" w:hAnsi="Times New Roman"/>
          <w:sz w:val="28"/>
          <w:szCs w:val="28"/>
        </w:rPr>
        <w:t xml:space="preserve">Магистрант, Ўзбекистон Миллий Университети</w:t>
      </w:r>
    </w:p>
    <w:p>
      <w:pPr>
        <w:spacing w:after="40" w:before="40"/>
        <w:jc w:val="right"/>
      </w:pPr>
      <w:r>
        <w:rPr>
          <w:rFonts w:ascii="Times New Roman" w:cs="Times New Roman" w:eastAsia="Times New Roman" w:hAnsi="Times New Roman"/>
          <w:sz w:val="28"/>
          <w:szCs w:val="28"/>
        </w:rPr>
        <w:t xml:space="preserve">Диншунослик ва маданиятшунослик кафедраси</w:t>
      </w:r>
    </w:p>
    <w:p>
      <w:pPr>
        <w:spacing w:after="40" w:before="40"/>
        <w:jc w:val="right"/>
      </w:pPr>
      <w:r>
        <w:rPr>
          <w:rFonts w:ascii="Times New Roman" w:cs="Times New Roman" w:eastAsia="Times New Roman" w:hAnsi="Times New Roman"/>
          <w:sz w:val="28"/>
          <w:szCs w:val="28"/>
        </w:rPr>
        <w:t xml:space="preserve">gulsum.tillyabayeva@gmail.com</w:t>
      </w:r>
    </w:p>
    <w:p>
      <w:pPr>
        <w:spacing w:before="40"/>
      </w:pPr>
      <w:r>
        <w:t xml:space="preserve"/>
      </w:r>
    </w:p>
    <w:p>
      <w:pPr>
        <w:spacing w:after="40" w:before="40"/>
        <w:jc w:val="right"/>
      </w:pPr>
      <w:r>
        <w:rPr>
          <w:rFonts w:ascii="Times New Roman" w:cs="Times New Roman" w:eastAsia="Times New Roman" w:hAnsi="Times New Roman"/>
          <w:b/>
          <w:bCs/>
          <w:sz w:val="28"/>
          <w:szCs w:val="28"/>
        </w:rPr>
        <w:t xml:space="preserve">Абдукаримов Абдурашид Абдуқаҳҳорович</w:t>
      </w:r>
    </w:p>
    <w:p>
      <w:pPr>
        <w:spacing w:after="40" w:before="40"/>
        <w:jc w:val="right"/>
      </w:pPr>
      <w:r>
        <w:rPr>
          <w:rFonts w:ascii="Times New Roman" w:cs="Times New Roman" w:eastAsia="Times New Roman" w:hAnsi="Times New Roman"/>
          <w:sz w:val="28"/>
          <w:szCs w:val="28"/>
        </w:rPr>
        <w:t xml:space="preserve">Мустақил тадқиқотчи; Fractal Metascience Paradigm асосчиси</w:t>
      </w:r>
    </w:p>
    <w:p>
      <w:pPr>
        <w:spacing w:after="40" w:before="40"/>
        <w:jc w:val="right"/>
      </w:pPr>
      <w:r>
        <w:rPr>
          <w:rFonts w:ascii="Times New Roman" w:cs="Times New Roman" w:eastAsia="Times New Roman" w:hAnsi="Times New Roman"/>
          <w:sz w:val="28"/>
          <w:szCs w:val="28"/>
        </w:rPr>
        <w:t xml:space="preserve">ORCID: 0009-0000-6394-4912</w:t>
      </w:r>
    </w:p>
    <w:p>
      <w:pPr>
        <w:spacing w:after="40" w:before="40"/>
        <w:jc w:val="right"/>
      </w:pPr>
      <w:r>
        <w:rPr>
          <w:rFonts w:ascii="Times New Roman" w:cs="Times New Roman" w:eastAsia="Times New Roman" w:hAnsi="Times New Roman"/>
          <w:sz w:val="28"/>
          <w:szCs w:val="28"/>
        </w:rPr>
        <w:t xml:space="preserve">Тошкент, Ўзбекистон</w:t>
      </w:r>
    </w:p>
    <w:p>
      <w:pPr>
        <w:spacing w:before="40"/>
      </w:pPr>
      <w:r>
        <w:t xml:space="preserve"/>
      </w:r>
    </w:p>
    <w:p>
      <w:pPr>
        <w:spacing w:after="80" w:before="80"/>
        <w:jc w:val="center"/>
      </w:pPr>
      <w:r>
        <w:rPr>
          <w:rFonts w:ascii="Times New Roman" w:cs="Times New Roman" w:eastAsia="Times New Roman" w:hAnsi="Times New Roman"/>
          <w:i/>
          <w:iCs/>
          <w:sz w:val="28"/>
          <w:szCs w:val="28"/>
        </w:rPr>
        <w:t xml:space="preserve">Мақола тақдим этилди: 23/03/2026</w:t>
      </w:r>
    </w:p>
    <w:p>
      <w:pPr>
        <w:spacing w:before="40"/>
      </w:pPr>
      <w:r>
        <w:t xml:space="preserve"/>
      </w:r>
    </w:p>
    <w:p>
      <w:pPr>
        <w:pBdr>
          <w:bottom w:val="single" w:color="1A3A5C" w:sz="6" w:space="4"/>
        </w:pBdr>
        <w:spacing w:before="120"/>
      </w:pPr>
      <w:r>
        <w:t xml:space="preserve"/>
      </w:r>
    </w:p>
    <w:p>
      <w:pPr>
        <w:spacing w:before="60"/>
      </w:pPr>
      <w:r>
        <w:t xml:space="preserve"/>
      </w:r>
    </w:p>
    <w:p>
      <w:pPr>
        <w:pBdr>
          <w:bottom w:val="single" w:color="1A3A5C" w:sz="4" w:space="4"/>
        </w:pBdr>
        <w:spacing w:after="160" w:before="360"/>
      </w:pPr>
      <w:r>
        <w:rPr>
          <w:rFonts w:ascii="Times New Roman" w:cs="Times New Roman" w:eastAsia="Times New Roman" w:hAnsi="Times New Roman"/>
          <w:b/>
          <w:bCs/>
          <w:sz w:val="28"/>
          <w:szCs w:val="28"/>
        </w:rPr>
        <w:t xml:space="preserve">АННОТАЦИЯ / ABSTRACT / АННОТАЦИЯ</w:t>
      </w:r>
    </w:p>
    <w:p>
      <w:pPr>
        <w:spacing w:before="40"/>
      </w:pPr>
      <w:r>
        <w:t xml:space="preserve"/>
      </w:r>
    </w:p>
    <w:p>
      <w:pPr>
        <w:spacing w:after="80" w:before="80" w:line="360" w:lineRule="auto"/>
        <w:ind w:firstLine="720"/>
        <w:jc w:val="both"/>
      </w:pPr>
      <w:r>
        <w:rPr>
          <w:rFonts w:ascii="Times New Roman" w:cs="Times New Roman" w:eastAsia="Times New Roman" w:hAnsi="Times New Roman"/>
          <w:b/>
          <w:bCs/>
          <w:sz w:val="28"/>
          <w:szCs w:val="28"/>
        </w:rPr>
        <w:t xml:space="preserve">Ўзбекча:</w:t>
      </w:r>
    </w:p>
    <w:p>
      <w:pPr>
        <w:spacing w:after="80" w:before="80" w:line="360" w:lineRule="auto"/>
        <w:ind w:firstLine="720"/>
        <w:jc w:val="both"/>
      </w:pPr>
      <w:r>
        <w:rPr>
          <w:rFonts w:ascii="Times New Roman" w:cs="Times New Roman" w:eastAsia="Times New Roman" w:hAnsi="Times New Roman"/>
          <w:sz w:val="28"/>
          <w:szCs w:val="28"/>
        </w:rPr>
        <w:t xml:space="preserve">Мазкур мақолада Ўзбекистонда зиёрат туризми соҳасидаги терминологиянинг ҳозирги ҳолати таҳлил қилинади. Давлат ҳужжатлари, академик адабиётлар ва соҳавий амалиёт материаллари асосида ўзбек тилидаги зиёрат туризми терминларида мавжуд номувофиқликлар аниқланади. Унификациялаш зарурияти асосланади ва асосий терминлар учун стандарт таърифлар таклиф этилади. Тадқиқот ўнта изоҳли ва тармоқ луғатлари, 2019–2026 йиллардаги давлат ҳужжатлари ва жойида кузатув маълумотлари асосида олиб борилган.</w:t>
      </w:r>
    </w:p>
    <w:p>
      <w:pPr>
        <w:spacing w:after="80" w:before="80" w:line="360" w:lineRule="auto"/>
        <w:ind w:firstLine="720"/>
        <w:jc w:val="both"/>
      </w:pPr>
      <w:r>
        <w:rPr>
          <w:rFonts w:ascii="Times New Roman" w:cs="Times New Roman" w:eastAsia="Times New Roman" w:hAnsi="Times New Roman"/>
          <w:sz w:val="28"/>
          <w:szCs w:val="28"/>
        </w:rPr>
        <w:t xml:space="preserve">Таянч сўзлар: зиёрат туризми, терминология, унификация, ўзбек тилшунослиги, диний туризм, лексикография, ҳудудий туризм.</w:t>
      </w:r>
    </w:p>
    <w:p>
      <w:pPr>
        <w:spacing w:before="40"/>
      </w:pPr>
      <w:r>
        <w:t xml:space="preserve"/>
      </w:r>
    </w:p>
    <w:p>
      <w:pPr>
        <w:spacing w:after="80" w:before="80" w:line="360" w:lineRule="auto"/>
        <w:ind w:firstLine="720"/>
        <w:jc w:val="both"/>
      </w:pPr>
      <w:r>
        <w:rPr>
          <w:rFonts w:ascii="Times New Roman" w:cs="Times New Roman" w:eastAsia="Times New Roman" w:hAnsi="Times New Roman"/>
          <w:b/>
          <w:bCs/>
          <w:sz w:val="28"/>
          <w:szCs w:val="28"/>
        </w:rPr>
        <w:t xml:space="preserve">English:</w:t>
      </w:r>
    </w:p>
    <w:p>
      <w:pPr>
        <w:spacing w:after="80" w:before="80" w:line="360" w:lineRule="auto"/>
        <w:ind w:firstLine="720"/>
        <w:jc w:val="both"/>
      </w:pPr>
      <w:r>
        <w:rPr>
          <w:rFonts w:ascii="Times New Roman" w:cs="Times New Roman" w:eastAsia="Times New Roman" w:hAnsi="Times New Roman"/>
          <w:sz w:val="28"/>
          <w:szCs w:val="28"/>
        </w:rPr>
        <w:t xml:space="preserve">This article analyses the current state of terminology in the field of ziyarat tourism in Uzbekistan. Based on state documents, academic literature and industry practice, existing inconsistencies in Uzbek-language ziyarat tourism terms are identified, the necessity of unification is substantiated, and standard definitions for key terms are proposed. The research draws on ten explanatory and specialised dictionaries, state documents from 2019–2026, and field observation data.</w:t>
      </w:r>
    </w:p>
    <w:p>
      <w:pPr>
        <w:spacing w:after="80" w:before="80" w:line="360" w:lineRule="auto"/>
        <w:ind w:firstLine="720"/>
        <w:jc w:val="both"/>
      </w:pPr>
      <w:r>
        <w:rPr>
          <w:rFonts w:ascii="Times New Roman" w:cs="Times New Roman" w:eastAsia="Times New Roman" w:hAnsi="Times New Roman"/>
          <w:sz w:val="28"/>
          <w:szCs w:val="28"/>
        </w:rPr>
        <w:t xml:space="preserve">Keywords: ziyarat tourism, terminology, unification, Uzbek linguistics, religious tourism, lexicography, regional tourism.</w:t>
      </w:r>
    </w:p>
    <w:p>
      <w:pPr>
        <w:spacing w:before="40"/>
      </w:pPr>
      <w:r>
        <w:t xml:space="preserve"/>
      </w:r>
    </w:p>
    <w:p>
      <w:pPr>
        <w:spacing w:after="80" w:before="80" w:line="360" w:lineRule="auto"/>
        <w:ind w:firstLine="720"/>
        <w:jc w:val="both"/>
      </w:pPr>
      <w:r>
        <w:rPr>
          <w:rFonts w:ascii="Times New Roman" w:cs="Times New Roman" w:eastAsia="Times New Roman" w:hAnsi="Times New Roman"/>
          <w:b/>
          <w:bCs/>
          <w:sz w:val="28"/>
          <w:szCs w:val="28"/>
        </w:rPr>
        <w:t xml:space="preserve">Русский:</w:t>
      </w:r>
    </w:p>
    <w:p>
      <w:pPr>
        <w:spacing w:after="80" w:before="80" w:line="360" w:lineRule="auto"/>
        <w:ind w:firstLine="720"/>
        <w:jc w:val="both"/>
      </w:pPr>
      <w:r>
        <w:rPr>
          <w:rFonts w:ascii="Times New Roman" w:cs="Times New Roman" w:eastAsia="Times New Roman" w:hAnsi="Times New Roman"/>
          <w:sz w:val="28"/>
          <w:szCs w:val="28"/>
        </w:rPr>
        <w:t xml:space="preserve">В статье анализируется современное состояние терминологии в области зиёрат-туризма в Узбекистане. На основе государственных документов, академической литературы и отраслевой практики выявляются существующие несоответствия в узбекскоязычных терминах зиёрат-туризма, обосновывается необходимость унификации и предлагаются стандартные определения ключевых терминов.</w:t>
      </w:r>
    </w:p>
    <w:p>
      <w:pPr>
        <w:spacing w:after="80" w:before="80" w:line="360" w:lineRule="auto"/>
        <w:ind w:firstLine="720"/>
        <w:jc w:val="both"/>
      </w:pPr>
      <w:r>
        <w:rPr>
          <w:rFonts w:ascii="Times New Roman" w:cs="Times New Roman" w:eastAsia="Times New Roman" w:hAnsi="Times New Roman"/>
          <w:sz w:val="28"/>
          <w:szCs w:val="28"/>
        </w:rPr>
        <w:t xml:space="preserve">Ключевые слова: зиёрат-туризм, терминология, унификация, узбекская лингвистика, религиозный туризм, лексикография.</w:t>
      </w:r>
    </w:p>
    <w:p>
      <w:pPr>
        <w:pBdr>
          <w:bottom w:val="single" w:color="1A3A5C" w:sz="6" w:space="4"/>
        </w:pBdr>
        <w:spacing w:before="120"/>
      </w:pPr>
      <w:r>
        <w:t xml:space="preserve"/>
      </w:r>
    </w:p>
    <w:p>
      <w:pPr>
        <w:spacing w:before="0"/>
      </w:pPr>
      <w:r>
        <w:br w:type="page"/>
      </w:r>
    </w:p>
    <w:p>
      <w:pPr>
        <w:pBdr>
          <w:bottom w:val="single" w:color="1A3A5C" w:sz="8" w:space="6"/>
        </w:pBdr>
        <w:spacing w:after="240" w:before="480"/>
        <w:jc w:val="center"/>
      </w:pPr>
      <w:r>
        <w:rPr>
          <w:rFonts w:ascii="Times New Roman" w:cs="Times New Roman" w:eastAsia="Times New Roman" w:hAnsi="Times New Roman"/>
          <w:b/>
          <w:bCs/>
          <w:sz w:val="32"/>
          <w:szCs w:val="32"/>
        </w:rPr>
        <w:t xml:space="preserve">I. КИРИШ</w:t>
      </w:r>
    </w:p>
    <w:p>
      <w:pPr>
        <w:spacing w:after="80" w:before="80" w:line="360" w:lineRule="auto"/>
        <w:ind w:firstLine="720"/>
        <w:jc w:val="both"/>
      </w:pPr>
      <w:r>
        <w:rPr>
          <w:rFonts w:ascii="Times New Roman" w:cs="Times New Roman" w:eastAsia="Times New Roman" w:hAnsi="Times New Roman"/>
          <w:sz w:val="28"/>
          <w:szCs w:val="28"/>
        </w:rPr>
        <w:t xml:space="preserve">Ўзбекистонда зиёрат туризмини ривожлантиришга давлат эътибори сўнгги йилларда сезиларли даражада ошди. Ўзбекистон Республикаси Президентининг 2019 йил 5 январдаги ПҚ–4095-сон Қарори, 2021 йил 9 февралдаги ПФ-6165-сон Фармони ва 2026 йил 9 январдаги «Умра плюс» дастурига доир Вазирлар Маҳкамаси қарори[1] зиёрат туризмини давлат сиёсатининг устувор йўналишига айлантирди. «Ўзбекистон–2030» стратегиясида зиёрат туризми бўйича 2030 йилга қадар 3 миллион зиёратчини жалб этиш вазифаси белгиланган[2]. Мазкур ҳужжатлар мажмуи соҳа учун институционал асос яратди, аммо муҳим бир камчиликни бартараф этолмади: ўзбек тилида зиёрат туризми терминологиясининг ягона, унификацияланган тизими ҳанузгача шаклланмаган.</w:t>
      </w:r>
    </w:p>
    <w:p>
      <w:pPr>
        <w:spacing w:after="80" w:before="80" w:line="360" w:lineRule="auto"/>
        <w:ind w:firstLine="720"/>
        <w:jc w:val="both"/>
      </w:pPr>
      <w:r>
        <w:rPr>
          <w:rFonts w:ascii="Times New Roman" w:cs="Times New Roman" w:eastAsia="Times New Roman" w:hAnsi="Times New Roman"/>
          <w:sz w:val="28"/>
          <w:szCs w:val="28"/>
        </w:rPr>
        <w:t xml:space="preserve">Ушбу камчиликнинг амалий оқибатлари уч йўналишда намоён бўлади. Биринчидан, давлат ҳужжатларида бир феноменни ифодалаш учун турли атамалар параллел қўлланилади: «зиёрат туризми», «диний туризм», «маданий-диний туризм», «муқаддас жойлар туризми» — булар айни бир тушунчанинг тўртта турлича ифодаси. Иккинчидан, академик адабиётларда «зиёратгоҳ», «муқаддас жой», «қадамжо» ва «авлиё мозори» атамалари бир-бирини алмаштириб ишлатилади, ҳолбуки уларнинг маъно доиралари фарқ қилади. Учинчидан, халқаро илмий ҳамкорликда ўзбекча терминларнинг аниқ эквивалентлари мавжуд эмаслиги тадқиқот ва лойиҳалаштириш жараёнларини қийинлаштиради.</w:t>
      </w:r>
    </w:p>
    <w:p>
      <w:pPr>
        <w:spacing w:after="80" w:before="80" w:line="360" w:lineRule="auto"/>
        <w:ind w:firstLine="720"/>
        <w:jc w:val="both"/>
      </w:pPr>
      <w:r>
        <w:rPr>
          <w:rFonts w:ascii="Times New Roman" w:cs="Times New Roman" w:eastAsia="Times New Roman" w:hAnsi="Times New Roman"/>
          <w:sz w:val="28"/>
          <w:szCs w:val="28"/>
        </w:rPr>
        <w:t xml:space="preserve">Тилшуносликда терминологик унификация — бу нафақат луғатчилик вазифаси, балки соҳанинг жамиятдаги мавқеини мустаҳкамловчи, халқаро ҳамкорликни осонлаштирувчи ва давлат сиёсатини амалиётга самарали татбиқ этишга кўмаклашувчи методологик заруратдир[3]. Мазкур тадқиқотнинг мақсади зиёрат туризмига оид асосий ўзбекча терминларни аниқлаш, уларнинг ҳозирги қўлланиш ҳолатини таҳлил қилиш ва унификациялаш учун тавсиялар ишлаб чиқишдан иборат.</w:t>
      </w:r>
    </w:p>
    <w:p>
      <w:pPr>
        <w:spacing w:after="80" w:before="80" w:line="360" w:lineRule="auto"/>
        <w:ind w:firstLine="720"/>
        <w:jc w:val="both"/>
      </w:pPr>
      <w:r>
        <w:rPr>
          <w:rFonts w:ascii="Times New Roman" w:cs="Times New Roman" w:eastAsia="Times New Roman" w:hAnsi="Times New Roman"/>
          <w:sz w:val="28"/>
          <w:szCs w:val="28"/>
        </w:rPr>
        <w:t xml:space="preserve">Тадқиқотда қуйидаги усуллардан фойдаланилди: тарихий-тавсифий усул (терминларнинг вужудга келиши ва эволюциясини ўрганиш учун), қиёсий-таҳлилий усул (турли манбалардаги терминларни солиштириш учун), лексикографик таҳлил усули (ўнта луғат маълумотлари асосида) ва жойида кузатув усули (амалий қўлланиш контекстларини ўрганиш учун).</w:t>
      </w:r>
    </w:p>
    <w:p>
      <w:pPr>
        <w:pBdr>
          <w:top w:val="single" w:color="AAAAAA" w:sz="4" w:space="4"/>
        </w:pBdr>
        <w:spacing w:before="280"/>
      </w:pPr>
      <w:r>
        <w:t xml:space="preserve"/>
      </w:r>
    </w:p>
    <w:p>
      <w:pPr>
        <w:spacing w:after="20" w:before="20"/>
        <w:ind w:left="360"/>
        <w:jc w:val="both"/>
      </w:pPr>
      <w:r>
        <w:rPr>
          <w:rFonts w:ascii="Times New Roman" w:cs="Times New Roman" w:eastAsia="Times New Roman" w:hAnsi="Times New Roman"/>
          <w:i/>
          <w:iCs/>
          <w:color w:val="444444"/>
          <w:sz w:val="20"/>
          <w:szCs w:val="20"/>
        </w:rPr>
        <w:t xml:space="preserve">[1] ПҚ–4095-сон, 05.01.2019; ПФ-6165-сон, 09.02.2021; ВМ қарори, 09.01.2026. https://lex.uz</w:t>
      </w:r>
    </w:p>
    <w:p>
      <w:pPr>
        <w:spacing w:after="20" w:before="20"/>
        <w:ind w:left="360"/>
        <w:jc w:val="both"/>
      </w:pPr>
      <w:r>
        <w:rPr>
          <w:rFonts w:ascii="Times New Roman" w:cs="Times New Roman" w:eastAsia="Times New Roman" w:hAnsi="Times New Roman"/>
          <w:i/>
          <w:iCs/>
          <w:color w:val="444444"/>
          <w:sz w:val="20"/>
          <w:szCs w:val="20"/>
        </w:rPr>
        <w:t xml:space="preserve">[2] Daryo.uz. Ўзбекистон–2030 стратегиясида зиёрат туризми. 31.03.2024.</w:t>
      </w:r>
    </w:p>
    <w:p>
      <w:pPr>
        <w:spacing w:after="20" w:before="20"/>
        <w:ind w:left="360"/>
        <w:jc w:val="both"/>
      </w:pPr>
      <w:r>
        <w:rPr>
          <w:rFonts w:ascii="Times New Roman" w:cs="Times New Roman" w:eastAsia="Times New Roman" w:hAnsi="Times New Roman"/>
          <w:i/>
          <w:iCs/>
          <w:color w:val="444444"/>
          <w:sz w:val="20"/>
          <w:szCs w:val="20"/>
        </w:rPr>
        <w:t xml:space="preserve">[3] Маҳмудов Н., Маҳкамов Н. Ўзбек тили терминологиясини стандартлаштириш масалалари. Тошкент, 2020. – Б. 3–18.</w:t>
      </w:r>
    </w:p>
    <w:p>
      <w:pPr>
        <w:spacing w:before="0"/>
      </w:pPr>
      <w:r>
        <w:br w:type="page"/>
      </w:r>
    </w:p>
    <w:p>
      <w:pPr>
        <w:pBdr>
          <w:bottom w:val="single" w:color="1A3A5C" w:sz="8" w:space="6"/>
        </w:pBdr>
        <w:spacing w:after="240" w:before="480"/>
        <w:jc w:val="center"/>
      </w:pPr>
      <w:r>
        <w:rPr>
          <w:rFonts w:ascii="Times New Roman" w:cs="Times New Roman" w:eastAsia="Times New Roman" w:hAnsi="Times New Roman"/>
          <w:b/>
          <w:bCs/>
          <w:sz w:val="32"/>
          <w:szCs w:val="32"/>
        </w:rPr>
        <w:t xml:space="preserve">II. ТЕРМИНОЛОГИК ТАҲЛИЛ: МАВЖУД ҲОЛАТ</w:t>
      </w:r>
    </w:p>
    <w:p>
      <w:pPr>
        <w:spacing w:after="100" w:before="240"/>
      </w:pPr>
      <w:r>
        <w:rPr>
          <w:rFonts w:ascii="Times New Roman" w:cs="Times New Roman" w:eastAsia="Times New Roman" w:hAnsi="Times New Roman"/>
          <w:b/>
          <w:bCs/>
          <w:i/>
          <w:iCs/>
          <w:sz w:val="28"/>
          <w:szCs w:val="28"/>
        </w:rPr>
        <w:t xml:space="preserve">2.1. «Зиёрат» атамасининг маъно доираси</w:t>
      </w:r>
    </w:p>
    <w:p>
      <w:pPr>
        <w:spacing w:after="80" w:before="80" w:line="360" w:lineRule="auto"/>
        <w:ind w:firstLine="720"/>
        <w:jc w:val="both"/>
      </w:pPr>
      <w:r>
        <w:rPr>
          <w:rFonts w:ascii="Times New Roman" w:cs="Times New Roman" w:eastAsia="Times New Roman" w:hAnsi="Times New Roman"/>
          <w:sz w:val="28"/>
          <w:szCs w:val="28"/>
        </w:rPr>
        <w:t xml:space="preserve">«Зиёрат» сўзи арабча زيارة (зийāра) сўзидан олинган бўлиб, луғавий маъноси «ташриф буюриш, бориб кўриш» дегани[4]. Чориев (1999) берган академик таърифга кўра, зиёрат — «муқаддас жой, авлиё мозори ёки диний аҳамиятга эга маконга ибодат мақсадида қилинадиган ташриф»[5]. Аммо ушбу таъриф амалиётдаги тўлиқ семантик доирани қамраб олмайди.</w:t>
      </w:r>
    </w:p>
    <w:p>
      <w:pPr>
        <w:spacing w:after="80" w:before="80" w:line="360" w:lineRule="auto"/>
        <w:ind w:firstLine="720"/>
        <w:jc w:val="both"/>
      </w:pPr>
      <w:r>
        <w:rPr>
          <w:rFonts w:ascii="Times New Roman" w:cs="Times New Roman" w:eastAsia="Times New Roman" w:hAnsi="Times New Roman"/>
          <w:sz w:val="28"/>
          <w:szCs w:val="28"/>
        </w:rPr>
        <w:t xml:space="preserve">Ўзбекистондаги зиёрат амалиётини кузатиш шуни кўрсатадики, «зиёрат» атамаси камида тўрт хил контекстда қўлланилади: (1) авлиё ёки муқаддас шахс мозорига ташриф; (2) Макка ва Мадинага умра ёки ҳаж зиёрати; (3) тарихий-маданий объектга бориш; (4) тирик устозга ёки ҳурматли кишига ташриф. Туристик нуқтаи назардан биринчи ва учинчи маъно марказий аҳамиятга эга, иккинчи маъно «умра туризми» атамаси орқали алоҳида ажратиб олинган.</w:t>
      </w:r>
    </w:p>
    <w:p>
      <w:pPr>
        <w:spacing w:after="100" w:before="240"/>
      </w:pPr>
      <w:r>
        <w:rPr>
          <w:rFonts w:ascii="Times New Roman" w:cs="Times New Roman" w:eastAsia="Times New Roman" w:hAnsi="Times New Roman"/>
          <w:b/>
          <w:bCs/>
          <w:i/>
          <w:iCs/>
          <w:sz w:val="28"/>
          <w:szCs w:val="28"/>
        </w:rPr>
        <w:t xml:space="preserve">2.2. Давлат ҳужжатларида терминологик нотекислик</w:t>
      </w:r>
    </w:p>
    <w:p>
      <w:pPr>
        <w:spacing w:after="80" w:before="80" w:line="360" w:lineRule="auto"/>
        <w:ind w:firstLine="720"/>
        <w:jc w:val="both"/>
      </w:pPr>
      <w:r>
        <w:rPr>
          <w:rFonts w:ascii="Times New Roman" w:cs="Times New Roman" w:eastAsia="Times New Roman" w:hAnsi="Times New Roman"/>
          <w:sz w:val="28"/>
          <w:szCs w:val="28"/>
        </w:rPr>
        <w:t xml:space="preserve">2019–2026 йиллар оралиғида зиёрат туризмига оид асосий давлат ҳужжатларини таҳлил қилиш терминологик нотекисликнинг аниқ манзарасини беради:</w:t>
      </w:r>
    </w:p>
    <w:p>
      <w:pPr>
        <w:spacing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000"/>
      </w:tblGrid>
      <w:tr>
        <w:trPr>
          <w:tblHeader/>
        </w:trPr>
        <w:tc>
          <w:tcPr>
            <w:tcW w:type="dxa" w:w="32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Ҳужжат</w:t>
            </w:r>
          </w:p>
        </w:tc>
        <w:tc>
          <w:tcPr>
            <w:tcW w:type="dxa" w:w="16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Қабул йили</w:t>
            </w:r>
          </w:p>
        </w:tc>
        <w:tc>
          <w:tcPr>
            <w:tcW w:type="dxa" w:w="40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Қўлланган асосий атама</w:t>
            </w:r>
          </w:p>
        </w:tc>
      </w:tr>
      <w:tr>
        <w:tc>
          <w:tcPr>
            <w:tcW w:type="dxa" w:w="3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ПҚ–4095-сон Қарор</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2019</w:t>
            </w:r>
          </w:p>
        </w:tc>
        <w:tc>
          <w:tcPr>
            <w:tcW w:type="dxa" w:w="40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туризми»</w:t>
            </w:r>
          </w:p>
        </w:tc>
      </w:tr>
      <w:tr>
        <w:tc>
          <w:tcPr>
            <w:tcW w:type="dxa" w:w="3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ПФ-6165-сон Фармон</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2021</w:t>
            </w:r>
          </w:p>
        </w:tc>
        <w:tc>
          <w:tcPr>
            <w:tcW w:type="dxa" w:w="40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«диний туризм» ва «зиёрат туризми» — параллел</w:t>
            </w:r>
          </w:p>
        </w:tc>
      </w:tr>
      <w:tr>
        <w:tc>
          <w:tcPr>
            <w:tcW w:type="dxa" w:w="3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ПҚ-223-сон Қарор</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2023</w:t>
            </w:r>
          </w:p>
        </w:tc>
        <w:tc>
          <w:tcPr>
            <w:tcW w:type="dxa" w:w="40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«маданий-диний туризм»</w:t>
            </w:r>
          </w:p>
        </w:tc>
      </w:tr>
      <w:tr>
        <w:tc>
          <w:tcPr>
            <w:tcW w:type="dxa" w:w="3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«Умра плюс» дастури</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2026</w:t>
            </w:r>
          </w:p>
        </w:tc>
        <w:tc>
          <w:tcPr>
            <w:tcW w:type="dxa" w:w="40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туризми» ва «умра туризми» — алоҳида</w:t>
            </w:r>
          </w:p>
        </w:tc>
      </w:tr>
    </w:tbl>
    <w:p>
      <w:pPr>
        <w:spacing w:before="40"/>
      </w:pPr>
      <w:r>
        <w:t xml:space="preserve"/>
      </w:r>
    </w:p>
    <w:p>
      <w:pPr>
        <w:spacing w:after="80" w:before="80" w:line="360" w:lineRule="auto"/>
        <w:ind w:firstLine="720"/>
        <w:jc w:val="both"/>
      </w:pPr>
      <w:r>
        <w:rPr>
          <w:rFonts w:ascii="Times New Roman" w:cs="Times New Roman" w:eastAsia="Times New Roman" w:hAnsi="Times New Roman"/>
          <w:sz w:val="28"/>
          <w:szCs w:val="28"/>
        </w:rPr>
        <w:t xml:space="preserve">Жадвалдан кўринадики, 2019–2026 йиллар мобайнида ягона давлат ҳужжатларида тўртта турлича атама параллел қўлланилган. Бундай нотекислик нафақат лингвистик, балки маъмурий ва статистик муаммоларни ҳам келтириб чиқаради: «зиёрат туризми» ва «маданий-диний туризм» бўйича тўпланган статистик маълумотларни солиштириш имконсиз.</w:t>
      </w:r>
    </w:p>
    <w:p>
      <w:pPr>
        <w:spacing w:after="100" w:before="240"/>
      </w:pPr>
      <w:r>
        <w:rPr>
          <w:rFonts w:ascii="Times New Roman" w:cs="Times New Roman" w:eastAsia="Times New Roman" w:hAnsi="Times New Roman"/>
          <w:b/>
          <w:bCs/>
          <w:i/>
          <w:iCs/>
          <w:sz w:val="28"/>
          <w:szCs w:val="28"/>
        </w:rPr>
        <w:t xml:space="preserve">2.3. Академик адабиётларда терминологик тарқоқлик</w:t>
      </w:r>
    </w:p>
    <w:p>
      <w:pPr>
        <w:spacing w:after="80" w:before="80" w:line="360" w:lineRule="auto"/>
        <w:ind w:firstLine="720"/>
        <w:jc w:val="both"/>
      </w:pPr>
      <w:r>
        <w:rPr>
          <w:rFonts w:ascii="Times New Roman" w:cs="Times New Roman" w:eastAsia="Times New Roman" w:hAnsi="Times New Roman"/>
          <w:sz w:val="28"/>
          <w:szCs w:val="28"/>
        </w:rPr>
        <w:t xml:space="preserve">Ўзбекистонлик тадқиқотчилар ишларида зиёрат инфратузилмасига оид объектларни номлашда ҳам ягона стандарт мавжуд эмас. Муминов (1996, 2005) «муқаддас жойлар» ва «зиёратгоҳлар» атамаларини синоним сифатида ишлатади[6]. Абашин (2010) «мазар» атамасини марказий тушунча сифатида олиб, «зиёратгоҳ» ва «муқаддас жой»ни унинг кенгроқ синонимлари деб кўради[7]. Абдулахатов (2008) «қадамжо» атамасини «зиёратгоҳ»дан алоҳида тушунча сифатида тавсифлайди[8]. Бабажанов (2010) эса «авлиё мозори»ни суфийлик контекстидаги ихтисослашган атама деб белгилайди[9].</w:t>
      </w:r>
    </w:p>
    <w:p>
      <w:pPr>
        <w:spacing w:after="80" w:before="80" w:line="360" w:lineRule="auto"/>
        <w:ind w:firstLine="720"/>
        <w:jc w:val="both"/>
      </w:pPr>
      <w:r>
        <w:rPr>
          <w:rFonts w:ascii="Times New Roman" w:cs="Times New Roman" w:eastAsia="Times New Roman" w:hAnsi="Times New Roman"/>
          <w:sz w:val="28"/>
          <w:szCs w:val="28"/>
        </w:rPr>
        <w:t xml:space="preserve">Академик манбаларда бу тўртта атаманинг — «зиёратгоҳ», «муқаддас жой», «қадамжо», «авлиё мозори» — ўзаро нисбати аниқ белгиланмаган. Натижада бир тадқиқот «зиёратгоҳ» деб атаган объектни бошқа тадқиқот «муқаддас жой» деб атайди, солиштирма тадқиқот ўтказиш эса мушкуллашади.</w:t>
      </w:r>
    </w:p>
    <w:p>
      <w:pPr>
        <w:pBdr>
          <w:top w:val="single" w:color="AAAAAA" w:sz="4" w:space="4"/>
        </w:pBdr>
        <w:spacing w:before="280"/>
      </w:pPr>
      <w:r>
        <w:t xml:space="preserve"/>
      </w:r>
    </w:p>
    <w:p>
      <w:pPr>
        <w:spacing w:after="20" w:before="20"/>
        <w:ind w:left="360"/>
        <w:jc w:val="both"/>
      </w:pPr>
      <w:r>
        <w:rPr>
          <w:rFonts w:ascii="Times New Roman" w:cs="Times New Roman" w:eastAsia="Times New Roman" w:hAnsi="Times New Roman"/>
          <w:i/>
          <w:iCs/>
          <w:color w:val="444444"/>
          <w:sz w:val="20"/>
          <w:szCs w:val="20"/>
        </w:rPr>
        <w:t xml:space="preserve">[4] Дыбо А.В. Этимологический словарь базисной лексики тюркских языков. Астана, 2013. – С. 412–413.</w:t>
      </w:r>
    </w:p>
    <w:p>
      <w:pPr>
        <w:spacing w:after="20" w:before="20"/>
        <w:ind w:left="360"/>
        <w:jc w:val="both"/>
      </w:pPr>
      <w:r>
        <w:rPr>
          <w:rFonts w:ascii="Times New Roman" w:cs="Times New Roman" w:eastAsia="Times New Roman" w:hAnsi="Times New Roman"/>
          <w:i/>
          <w:iCs/>
          <w:color w:val="444444"/>
          <w:sz w:val="20"/>
          <w:szCs w:val="20"/>
        </w:rPr>
        <w:t xml:space="preserve">[5] Чориев З. Тарих атамаларининг қисқача изоҳли луғати. Тошкент: Шарқ, 1999. – 95-б.</w:t>
      </w:r>
    </w:p>
    <w:p>
      <w:pPr>
        <w:spacing w:after="20" w:before="20"/>
        <w:ind w:left="360"/>
        <w:jc w:val="both"/>
      </w:pPr>
      <w:r>
        <w:rPr>
          <w:rFonts w:ascii="Times New Roman" w:cs="Times New Roman" w:eastAsia="Times New Roman" w:hAnsi="Times New Roman"/>
          <w:i/>
          <w:iCs/>
          <w:color w:val="444444"/>
          <w:sz w:val="20"/>
          <w:szCs w:val="20"/>
        </w:rPr>
        <w:t xml:space="preserve">[6] Муминов А. Святые места Мавераннахра. Тошкент, 2005. – С. 14–17.</w:t>
      </w:r>
    </w:p>
    <w:p>
      <w:pPr>
        <w:spacing w:after="20" w:before="20"/>
        <w:ind w:left="360"/>
        <w:jc w:val="both"/>
      </w:pPr>
      <w:r>
        <w:rPr>
          <w:rFonts w:ascii="Times New Roman" w:cs="Times New Roman" w:eastAsia="Times New Roman" w:hAnsi="Times New Roman"/>
          <w:i/>
          <w:iCs/>
          <w:color w:val="444444"/>
          <w:sz w:val="20"/>
          <w:szCs w:val="20"/>
        </w:rPr>
        <w:t xml:space="preserve">[7] Абашин С. Мазар Бобои-об. СПб.: МАЭ РАН, 2010. – С. 30–45.</w:t>
      </w:r>
    </w:p>
    <w:p>
      <w:pPr>
        <w:spacing w:after="20" w:before="20"/>
        <w:ind w:left="360"/>
        <w:jc w:val="both"/>
      </w:pPr>
      <w:r>
        <w:rPr>
          <w:rFonts w:ascii="Times New Roman" w:cs="Times New Roman" w:eastAsia="Times New Roman" w:hAnsi="Times New Roman"/>
          <w:i/>
          <w:iCs/>
          <w:color w:val="444444"/>
          <w:sz w:val="20"/>
          <w:szCs w:val="20"/>
        </w:rPr>
        <w:t xml:space="preserve">[8] Абдулахатов Н.У. Фарғона водийси аҳолиси зиёратнинг ўрни. Тошкент, 2008. – 48–62-б.</w:t>
      </w:r>
    </w:p>
    <w:p>
      <w:pPr>
        <w:spacing w:after="20" w:before="20"/>
        <w:ind w:left="360"/>
        <w:jc w:val="both"/>
      </w:pPr>
      <w:r>
        <w:rPr>
          <w:rFonts w:ascii="Times New Roman" w:cs="Times New Roman" w:eastAsia="Times New Roman" w:hAnsi="Times New Roman"/>
          <w:i/>
          <w:iCs/>
          <w:color w:val="444444"/>
          <w:sz w:val="20"/>
          <w:szCs w:val="20"/>
        </w:rPr>
        <w:t xml:space="preserve">[9] Бабажанов Б. Ислам в Узбекистане. Тошкент: Фан, 2010. – С. 88–95.</w:t>
      </w:r>
    </w:p>
    <w:p>
      <w:pPr>
        <w:spacing w:before="0"/>
      </w:pPr>
      <w:r>
        <w:br w:type="page"/>
      </w:r>
    </w:p>
    <w:p>
      <w:pPr>
        <w:pBdr>
          <w:bottom w:val="single" w:color="1A3A5C" w:sz="8" w:space="6"/>
        </w:pBdr>
        <w:spacing w:after="240" w:before="480"/>
        <w:jc w:val="center"/>
      </w:pPr>
      <w:r>
        <w:rPr>
          <w:rFonts w:ascii="Times New Roman" w:cs="Times New Roman" w:eastAsia="Times New Roman" w:hAnsi="Times New Roman"/>
          <w:b/>
          <w:bCs/>
          <w:sz w:val="32"/>
          <w:szCs w:val="32"/>
        </w:rPr>
        <w:t xml:space="preserve">III. УНИФИКАЦИЯ ТАКЛИФЛАРИ</w:t>
      </w:r>
    </w:p>
    <w:p>
      <w:pPr>
        <w:spacing w:after="100" w:before="240"/>
      </w:pPr>
      <w:r>
        <w:rPr>
          <w:rFonts w:ascii="Times New Roman" w:cs="Times New Roman" w:eastAsia="Times New Roman" w:hAnsi="Times New Roman"/>
          <w:b/>
          <w:bCs/>
          <w:i/>
          <w:iCs/>
          <w:sz w:val="28"/>
          <w:szCs w:val="28"/>
        </w:rPr>
        <w:t xml:space="preserve">3.1. Методологик асос</w:t>
      </w:r>
    </w:p>
    <w:p>
      <w:pPr>
        <w:spacing w:after="80" w:before="80" w:line="360" w:lineRule="auto"/>
        <w:ind w:firstLine="720"/>
        <w:jc w:val="both"/>
      </w:pPr>
      <w:r>
        <w:rPr>
          <w:rFonts w:ascii="Times New Roman" w:cs="Times New Roman" w:eastAsia="Times New Roman" w:hAnsi="Times New Roman"/>
          <w:sz w:val="28"/>
          <w:szCs w:val="28"/>
        </w:rPr>
        <w:t xml:space="preserve">Терминологик унификация — бу бир атамани мажбурий равишда тиклаш эмас. Бу мавжуд атамаларнинг маъно доирасини аниқлаш, уларнинг ўзаро нисбатини белгилаш ва ҳар бири учун стандарт қўлланиш контекстини тавсифлашдир. Маҳмудов ва Маҳкамов (2020) таъкидлаганидек, «ўзбек тилида терминологик стандартлаштириш мавжуд тил бойлигини инкор этмайди — балки уни тартибга солади»[10].</w:t>
      </w:r>
    </w:p>
    <w:p>
      <w:pPr>
        <w:spacing w:after="80" w:before="80" w:line="360" w:lineRule="auto"/>
        <w:ind w:firstLine="720"/>
        <w:jc w:val="both"/>
      </w:pPr>
      <w:r>
        <w:rPr>
          <w:rFonts w:ascii="Times New Roman" w:cs="Times New Roman" w:eastAsia="Times New Roman" w:hAnsi="Times New Roman"/>
          <w:sz w:val="28"/>
          <w:szCs w:val="28"/>
        </w:rPr>
        <w:t xml:space="preserve">Ушбу мақолада таклиф этиладиган унификация уч принципга асосланади: (1) тарихий давомийлик — ўзбек лексикографик анъанасида мустаҳкамланган атамаларга устунлик берилади; (2) функционал аниқлик — ҳар бир атама аниқ белгиланган маъно доирасига эга бўлади; (3) давлат тили меъёрлари — «Давлат тилида иш юритиш» қўлланмасига (2020) мувофиқлик[11].</w:t>
      </w:r>
    </w:p>
    <w:p>
      <w:pPr>
        <w:spacing w:after="100" w:before="240"/>
      </w:pPr>
      <w:r>
        <w:rPr>
          <w:rFonts w:ascii="Times New Roman" w:cs="Times New Roman" w:eastAsia="Times New Roman" w:hAnsi="Times New Roman"/>
          <w:b/>
          <w:bCs/>
          <w:i/>
          <w:iCs/>
          <w:sz w:val="28"/>
          <w:szCs w:val="28"/>
        </w:rPr>
        <w:t xml:space="preserve">3.2. Асосий атамалар: стандарт таърифлар</w:t>
      </w:r>
    </w:p>
    <w:p>
      <w:pPr>
        <w:spacing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200"/>
        <w:gridCol w:w="1400"/>
      </w:tblGrid>
      <w:tr>
        <w:trPr>
          <w:tblHeader/>
        </w:trPr>
        <w:tc>
          <w:tcPr>
            <w:tcW w:type="dxa" w:w="18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Стандарт атама</w:t>
            </w:r>
          </w:p>
        </w:tc>
        <w:tc>
          <w:tcPr>
            <w:tcW w:type="dxa" w:w="34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Таъриф</w:t>
            </w:r>
          </w:p>
        </w:tc>
        <w:tc>
          <w:tcPr>
            <w:tcW w:type="dxa" w:w="22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Маъно доираси</w:t>
            </w:r>
          </w:p>
        </w:tc>
        <w:tc>
          <w:tcPr>
            <w:tcW w:type="dxa" w:w="14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Манба</w:t>
            </w:r>
          </w:p>
        </w:tc>
      </w:tr>
      <w:tr>
        <w:tc>
          <w:tcPr>
            <w:tcW w:type="dxa" w:w="18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w:t>
            </w:r>
          </w:p>
        </w:tc>
        <w:tc>
          <w:tcPr>
            <w:tcW w:type="dxa" w:w="3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Муқаддас шахс мозори, диний маконга ибодат ёки эҳтиром мақсадида қилинадиган ташриф</w:t>
            </w:r>
          </w:p>
        </w:tc>
        <w:tc>
          <w:tcPr>
            <w:tcW w:type="dxa" w:w="2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Диний, маданий, шахсийлаштирилган ташриф</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Чориев, 1999; ПҚ–4095</w:t>
            </w:r>
          </w:p>
        </w:tc>
      </w:tr>
      <w:tr>
        <w:tc>
          <w:tcPr>
            <w:tcW w:type="dxa" w:w="18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зиёратгоҳ</w:t>
            </w:r>
          </w:p>
        </w:tc>
        <w:tc>
          <w:tcPr>
            <w:tcW w:type="dxa" w:w="3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қилинадиган, диний ёки тарихий-маданий муқаддаслик мақомига эга объект</w:t>
            </w:r>
          </w:p>
        </w:tc>
        <w:tc>
          <w:tcPr>
            <w:tcW w:type="dxa" w:w="2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мақсадли объект — умумий атама</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Раҳматуллаев, 1978; Муминов, 2005</w:t>
            </w:r>
          </w:p>
        </w:tc>
      </w:tr>
      <w:tr>
        <w:tc>
          <w:tcPr>
            <w:tcW w:type="dxa" w:w="18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мазор</w:t>
            </w:r>
          </w:p>
        </w:tc>
        <w:tc>
          <w:tcPr>
            <w:tcW w:type="dxa" w:w="3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Авлиё ёки муқаддас шахс дафн этилган жой; меъморий иншоот билан безатилган</w:t>
            </w:r>
          </w:p>
        </w:tc>
        <w:tc>
          <w:tcPr>
            <w:tcW w:type="dxa" w:w="2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Қабр + муқаддас макон; суфийлик анъанасида</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Абашин, 2010; Чориев, 1999</w:t>
            </w:r>
          </w:p>
        </w:tc>
      </w:tr>
      <w:tr>
        <w:tc>
          <w:tcPr>
            <w:tcW w:type="dxa" w:w="18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муқаддас жой</w:t>
            </w:r>
          </w:p>
        </w:tc>
        <w:tc>
          <w:tcPr>
            <w:tcW w:type="dxa" w:w="3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Диний эътиқод ёки жамоавий хотира асосида сакрал мақом берилган ҳар қандай географик объект</w:t>
            </w:r>
          </w:p>
        </w:tc>
        <w:tc>
          <w:tcPr>
            <w:tcW w:type="dxa" w:w="2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Кенг маъно — мазор, чашма, дарахт, ғор</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Географиядан изоҳли луғат, 1979</w:t>
            </w:r>
          </w:p>
        </w:tc>
      </w:tr>
      <w:tr>
        <w:tc>
          <w:tcPr>
            <w:tcW w:type="dxa" w:w="18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қадамжо</w:t>
            </w:r>
          </w:p>
        </w:tc>
        <w:tc>
          <w:tcPr>
            <w:tcW w:type="dxa" w:w="3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Тарихий шахс ўтган ёки яшаган жой; қабр мажбурий эмас</w:t>
            </w:r>
          </w:p>
        </w:tc>
        <w:tc>
          <w:tcPr>
            <w:tcW w:type="dxa" w:w="2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Тарихий-диний мерос; мазордан кенгроқ</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Абдулахатов, 2008; Жой номлари луғати</w:t>
            </w:r>
          </w:p>
        </w:tc>
      </w:tr>
      <w:tr>
        <w:tc>
          <w:tcPr>
            <w:tcW w:type="dxa" w:w="18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авлиё мозори</w:t>
            </w:r>
          </w:p>
        </w:tc>
        <w:tc>
          <w:tcPr>
            <w:tcW w:type="dxa" w:w="3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Суфийлик тариқатига мансуб авлиё қабри атрофида шаклланган зиёрат объекти</w:t>
            </w:r>
          </w:p>
        </w:tc>
        <w:tc>
          <w:tcPr>
            <w:tcW w:type="dxa" w:w="2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Суфийлик контексти; институционал тариқат мероси</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Бабажанов, 2010; Чориев, 1999</w:t>
            </w:r>
          </w:p>
        </w:tc>
      </w:tr>
      <w:tr>
        <w:tc>
          <w:tcPr>
            <w:tcW w:type="dxa" w:w="18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хонақоҳ</w:t>
            </w:r>
          </w:p>
        </w:tc>
        <w:tc>
          <w:tcPr>
            <w:tcW w:type="dxa" w:w="3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Суфийлик тариқати марказ биноси; зикр, таълим ва зиёратчиларни қабул қилиш учун</w:t>
            </w:r>
          </w:p>
        </w:tc>
        <w:tc>
          <w:tcPr>
            <w:tcW w:type="dxa" w:w="2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Суфийлик ташкилий инфратузилмаси</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Чориев, 1999</w:t>
            </w:r>
          </w:p>
        </w:tc>
      </w:tr>
      <w:tr>
        <w:tc>
          <w:tcPr>
            <w:tcW w:type="dxa" w:w="18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мақбара</w:t>
            </w:r>
          </w:p>
        </w:tc>
        <w:tc>
          <w:tcPr>
            <w:tcW w:type="dxa" w:w="3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Тарихий шахс ёки авлиё дафн этилган монументал қабр иншооти</w:t>
            </w:r>
          </w:p>
        </w:tc>
        <w:tc>
          <w:tcPr>
            <w:tcW w:type="dxa" w:w="2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Меъморий ёдгорлик + диний объект</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Чориев, 1999; Географиядан изоҳли луғат</w:t>
            </w:r>
          </w:p>
        </w:tc>
      </w:tr>
      <w:tr>
        <w:tc>
          <w:tcPr>
            <w:tcW w:type="dxa" w:w="18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туризми</w:t>
            </w:r>
          </w:p>
        </w:tc>
        <w:tc>
          <w:tcPr>
            <w:tcW w:type="dxa" w:w="3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Зиёратгоҳ, мазор ёки диний аҳамиятга эга объектларга уюштирилган туристик фаолият</w:t>
            </w:r>
          </w:p>
        </w:tc>
        <w:tc>
          <w:tcPr>
            <w:tcW w:type="dxa" w:w="2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Туризм тури — соҳавий атама</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ПҚ–4095-сон, 2019</w:t>
            </w:r>
          </w:p>
        </w:tc>
      </w:tr>
      <w:tr>
        <w:tc>
          <w:tcPr>
            <w:tcW w:type="dxa" w:w="18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диний туризм</w:t>
            </w:r>
          </w:p>
        </w:tc>
        <w:tc>
          <w:tcPr>
            <w:tcW w:type="dxa" w:w="3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Диний мотивация асосидаги туризм — зиёрат туризмини ва диний маросим туризмини қамраб олади</w:t>
            </w:r>
          </w:p>
        </w:tc>
        <w:tc>
          <w:tcPr>
            <w:tcW w:type="dxa" w:w="2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туризмидан кенгроқ</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UNWTO; ПФ-6165-сон</w:t>
            </w:r>
          </w:p>
        </w:tc>
      </w:tr>
      <w:tr>
        <w:tc>
          <w:tcPr>
            <w:tcW w:type="dxa" w:w="18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умра туризми</w:t>
            </w:r>
          </w:p>
        </w:tc>
        <w:tc>
          <w:tcPr>
            <w:tcW w:type="dxa" w:w="3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Макка ва Мадинага кичик ҳаж — умра зиёрати мақсадида уюштирилган туризм</w:t>
            </w:r>
          </w:p>
        </w:tc>
        <w:tc>
          <w:tcPr>
            <w:tcW w:type="dxa" w:w="2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Алоҳида тур: Ҳижоз зиёрати</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«Умра плюс», 2026</w:t>
            </w:r>
          </w:p>
        </w:tc>
      </w:tr>
      <w:tr>
        <w:tc>
          <w:tcPr>
            <w:tcW w:type="dxa" w:w="18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зиёратчи</w:t>
            </w:r>
          </w:p>
        </w:tc>
        <w:tc>
          <w:tcPr>
            <w:tcW w:type="dxa" w:w="3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Зиёратгоҳга ибодат, шифо тилаш ёки маънавий мақсад билан ташриф буюрган шахс</w:t>
            </w:r>
          </w:p>
        </w:tc>
        <w:tc>
          <w:tcPr>
            <w:tcW w:type="dxa" w:w="2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Диний мотивли ташриф иштирокчиси</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Муминов, 2005; Эбади, 2020</w:t>
            </w:r>
          </w:p>
        </w:tc>
      </w:tr>
      <w:tr>
        <w:tc>
          <w:tcPr>
            <w:tcW w:type="dxa" w:w="18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маршрути</w:t>
            </w:r>
          </w:p>
        </w:tc>
        <w:tc>
          <w:tcPr>
            <w:tcW w:type="dxa" w:w="3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Бир ёки бир неча зиёратгоҳни қамраб олган, туристик хизмат тизими билан таъминланган йўналиш</w:t>
            </w:r>
          </w:p>
        </w:tc>
        <w:tc>
          <w:tcPr>
            <w:tcW w:type="dxa" w:w="2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Туристик инфратузилма атамаси</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ПҚ–4095; зиёрат маршрутлари дастури</w:t>
            </w:r>
          </w:p>
        </w:tc>
      </w:tr>
      <w:tr>
        <w:tc>
          <w:tcPr>
            <w:tcW w:type="dxa" w:w="18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вақф</w:t>
            </w:r>
          </w:p>
        </w:tc>
        <w:tc>
          <w:tcPr>
            <w:tcW w:type="dxa" w:w="3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Диний ёки ижтимоий мақсадларга бағишланган ва ажратиб олинган ваколатли мулк</w:t>
            </w:r>
          </w:p>
        </w:tc>
        <w:tc>
          <w:tcPr>
            <w:tcW w:type="dxa" w:w="2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Исломий юридик-молиявий атама</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Чориев, 1999</w:t>
            </w:r>
          </w:p>
        </w:tc>
      </w:tr>
    </w:tbl>
    <w:p>
      <w:pPr>
        <w:spacing w:before="40"/>
      </w:pPr>
      <w:r>
        <w:t xml:space="preserve"/>
      </w:r>
    </w:p>
    <w:p>
      <w:pPr>
        <w:spacing w:after="100" w:before="240"/>
      </w:pPr>
      <w:r>
        <w:rPr>
          <w:rFonts w:ascii="Times New Roman" w:cs="Times New Roman" w:eastAsia="Times New Roman" w:hAnsi="Times New Roman"/>
          <w:b/>
          <w:bCs/>
          <w:i/>
          <w:iCs/>
          <w:sz w:val="28"/>
          <w:szCs w:val="28"/>
        </w:rPr>
        <w:t xml:space="preserve">3.3. Иерархик нисбат</w:t>
      </w:r>
    </w:p>
    <w:p>
      <w:pPr>
        <w:spacing w:after="80" w:before="80" w:line="360" w:lineRule="auto"/>
        <w:ind w:firstLine="720"/>
        <w:jc w:val="both"/>
      </w:pPr>
      <w:r>
        <w:rPr>
          <w:rFonts w:ascii="Times New Roman" w:cs="Times New Roman" w:eastAsia="Times New Roman" w:hAnsi="Times New Roman"/>
          <w:sz w:val="28"/>
          <w:szCs w:val="28"/>
        </w:rPr>
        <w:t xml:space="preserve">Таклиф этилаётган терминологик тизимда атамалар уч даражали иерархик нисбатда жойлашади. Биринчи даража — умумий тур атамалари: «диний туризм» энг кенг қамровли тоифа бўлиб, унинг ичида «зиёрат туризми» жойлашади. Иккинчи даража — объект атамалари: «зиёратгоҳ» умумий атама сифатида «мазор», «мақбара», «қадамжо» ва «авлиё мозори» атамаларини ўз ичига олади. Учинчи даража — ихтисослашган атамалар: «умра туризми», «вақф», «хонақоҳ».</w:t>
      </w:r>
    </w:p>
    <w:p>
      <w:pPr>
        <w:spacing w:after="100" w:before="240"/>
      </w:pPr>
      <w:r>
        <w:rPr>
          <w:rFonts w:ascii="Times New Roman" w:cs="Times New Roman" w:eastAsia="Times New Roman" w:hAnsi="Times New Roman"/>
          <w:b/>
          <w:bCs/>
          <w:i/>
          <w:iCs/>
          <w:sz w:val="28"/>
          <w:szCs w:val="28"/>
        </w:rPr>
        <w:t xml:space="preserve">3.4. FMP нуқтаи назари: терминология TraceLog сифатида</w:t>
      </w:r>
    </w:p>
    <w:p>
      <w:pPr>
        <w:spacing w:after="80" w:before="80" w:line="360" w:lineRule="auto"/>
        <w:ind w:firstLine="720"/>
        <w:jc w:val="both"/>
      </w:pPr>
      <w:r>
        <w:rPr>
          <w:rFonts w:ascii="Times New Roman" w:cs="Times New Roman" w:eastAsia="Times New Roman" w:hAnsi="Times New Roman"/>
          <w:sz w:val="28"/>
          <w:szCs w:val="28"/>
        </w:rPr>
        <w:t xml:space="preserve">Фрактал метафан парадигмаси (FMP, Abdukarimov, 2025)[12] нуқтаи назаридан, соҳавий терминология — PLT (Post-Lingua Trace, тилдан кейинги из) нинг расмий тилга кўтарилиш жараёни. «Мазор», «хонақоҳ», «авлиё мозори» атамалари асрлар давомида жамоавий амалиёт орқали яшади — расмий луғатларсиз, институтларсиз. Уларни академик ва давлат дискурсига олиб кириш — мазкур PLT меросини ёзма TraceLog га айлантириш жараёни. Ушбу нуқтаи назар терминологик унификацияни тил тозалиги масаласидан чиқариб, цивилизацион давомийлик ва маданий мерос ҳимояси масаласига кўтаради.</w:t>
      </w:r>
    </w:p>
    <w:p>
      <w:pPr>
        <w:pBdr>
          <w:top w:val="single" w:color="AAAAAA" w:sz="4" w:space="4"/>
        </w:pBdr>
        <w:spacing w:before="280"/>
      </w:pPr>
      <w:r>
        <w:t xml:space="preserve"/>
      </w:r>
    </w:p>
    <w:p>
      <w:pPr>
        <w:spacing w:after="20" w:before="20"/>
        <w:ind w:left="360"/>
        <w:jc w:val="both"/>
      </w:pPr>
      <w:r>
        <w:rPr>
          <w:rFonts w:ascii="Times New Roman" w:cs="Times New Roman" w:eastAsia="Times New Roman" w:hAnsi="Times New Roman"/>
          <w:i/>
          <w:iCs/>
          <w:color w:val="444444"/>
          <w:sz w:val="20"/>
          <w:szCs w:val="20"/>
        </w:rPr>
        <w:t xml:space="preserve">[10] Маҳмудов Н., Маҳкамов Н. Ўзбек тили терминологиясини стандартлаштириш масалалари. – Б. 22.</w:t>
      </w:r>
    </w:p>
    <w:p>
      <w:pPr>
        <w:spacing w:after="20" w:before="20"/>
        <w:ind w:left="360"/>
        <w:jc w:val="both"/>
      </w:pPr>
      <w:r>
        <w:rPr>
          <w:rFonts w:ascii="Times New Roman" w:cs="Times New Roman" w:eastAsia="Times New Roman" w:hAnsi="Times New Roman"/>
          <w:i/>
          <w:iCs/>
          <w:color w:val="444444"/>
          <w:sz w:val="20"/>
          <w:szCs w:val="20"/>
        </w:rPr>
        <w:t xml:space="preserve">[11] Аминов М. ва бошқ. Давлат тилида иш юритиш. Тошкент: ЎзР ФА, 2020. – Б. 3–18.</w:t>
      </w:r>
    </w:p>
    <w:p>
      <w:pPr>
        <w:spacing w:after="20" w:before="20"/>
        <w:ind w:left="360"/>
        <w:jc w:val="both"/>
      </w:pPr>
      <w:r>
        <w:rPr>
          <w:rFonts w:ascii="Times New Roman" w:cs="Times New Roman" w:eastAsia="Times New Roman" w:hAnsi="Times New Roman"/>
          <w:i/>
          <w:iCs/>
          <w:color w:val="444444"/>
          <w:sz w:val="20"/>
          <w:szCs w:val="20"/>
        </w:rPr>
        <w:t xml:space="preserve">[12] Abdukarimov A. Fractal Metascience Paradigm. SSRN, 2025; Invisible Shadow. Zenodo, 2025.</w:t>
      </w:r>
    </w:p>
    <w:p>
      <w:pPr>
        <w:spacing w:before="0"/>
      </w:pPr>
      <w:r>
        <w:br w:type="page"/>
      </w:r>
    </w:p>
    <w:p>
      <w:pPr>
        <w:pBdr>
          <w:bottom w:val="single" w:color="1A3A5C" w:sz="8" w:space="6"/>
        </w:pBdr>
        <w:spacing w:after="240" w:before="480"/>
        <w:jc w:val="center"/>
      </w:pPr>
      <w:r>
        <w:rPr>
          <w:rFonts w:ascii="Times New Roman" w:cs="Times New Roman" w:eastAsia="Times New Roman" w:hAnsi="Times New Roman"/>
          <w:b/>
          <w:bCs/>
          <w:sz w:val="32"/>
          <w:szCs w:val="32"/>
        </w:rPr>
        <w:t xml:space="preserve">IV. МУҲОКАМА ВА ХУЛОСАЛАР</w:t>
      </w:r>
    </w:p>
    <w:p>
      <w:pPr>
        <w:spacing w:after="100" w:before="240"/>
      </w:pPr>
      <w:r>
        <w:rPr>
          <w:rFonts w:ascii="Times New Roman" w:cs="Times New Roman" w:eastAsia="Times New Roman" w:hAnsi="Times New Roman"/>
          <w:b/>
          <w:bCs/>
          <w:i/>
          <w:iCs/>
          <w:sz w:val="28"/>
          <w:szCs w:val="28"/>
        </w:rPr>
        <w:t xml:space="preserve">4.1. Унификациянинг амалий аҳамияти</w:t>
      </w:r>
    </w:p>
    <w:p>
      <w:pPr>
        <w:spacing w:after="80" w:before="80" w:line="360" w:lineRule="auto"/>
        <w:ind w:firstLine="720"/>
        <w:jc w:val="both"/>
      </w:pPr>
      <w:r>
        <w:rPr>
          <w:rFonts w:ascii="Times New Roman" w:cs="Times New Roman" w:eastAsia="Times New Roman" w:hAnsi="Times New Roman"/>
          <w:sz w:val="28"/>
          <w:szCs w:val="28"/>
        </w:rPr>
        <w:t xml:space="preserve">Таклиф этилган терминологик стандартнинг амалий аҳамияти учта йўналишда намоён бўлади. Биринчи йўналиш — давлат статистикаси: «зиёрат туризми» ва «диний туризм» аниқ чегараланса, вазирлик маълумотлари йиллар давомида солиштириладиган бўлади. Иккинчи йўналиш — халқаро ҳамкорлик: немис тилидаги «Pilgertourismus» — «зиёрат туризми»га, «Kulturtourismus» — «маданий мерос туризми»га мос тушади; ушбу эквивалентлик DAAD ва Horizon Europe дастурлари доирасидаги ҳамкорликни осонлаштиради. Учинчи йўналиш — академик тадқиқотлар: атамаларнинг аниқ чегараланиши зиёратгоҳлар тасниф ва қиёсий таҳлилини мумкин қилади.</w:t>
      </w:r>
    </w:p>
    <w:p>
      <w:pPr>
        <w:spacing w:after="100" w:before="240"/>
      </w:pPr>
      <w:r>
        <w:rPr>
          <w:rFonts w:ascii="Times New Roman" w:cs="Times New Roman" w:eastAsia="Times New Roman" w:hAnsi="Times New Roman"/>
          <w:b/>
          <w:bCs/>
          <w:i/>
          <w:iCs/>
          <w:sz w:val="28"/>
          <w:szCs w:val="28"/>
        </w:rPr>
        <w:t xml:space="preserve">4.2. Чегаралар ва истиқболлар</w:t>
      </w:r>
    </w:p>
    <w:p>
      <w:pPr>
        <w:spacing w:after="80" w:before="80" w:line="360" w:lineRule="auto"/>
        <w:ind w:firstLine="720"/>
        <w:jc w:val="both"/>
      </w:pPr>
      <w:r>
        <w:rPr>
          <w:rFonts w:ascii="Times New Roman" w:cs="Times New Roman" w:eastAsia="Times New Roman" w:hAnsi="Times New Roman"/>
          <w:sz w:val="28"/>
          <w:szCs w:val="28"/>
        </w:rPr>
        <w:t xml:space="preserve">Ушбу тадқиқот бир қатор чегараларга эга. Жадвалдаги таърифлар Ўзбекистон зиёрат дискурси асосида тузилган ва бошқа Марказий Осиё мамлакатлари учун бевосита татбиқ этилмайди. Жойида тадқиқот маълумотлари олтита вилоят билан чегараланган. Кейинги тадқиқотлар учун уч устувор йўналиш таклиф этилади: (1) зиёрат туризми терминларининг Ўзбекистон Миллий корпуси асосида частотали таҳлили; (2) таклиф этилган стандартнинг туристик путеводителлар ва давлат ҳужжатларида синовдан ўтказилиши; (3) Қозоғистон, Қирғизистон ва Тожикистон зиёрат туризми терминологияси билан қиёсий тадқиқот.</w:t>
      </w:r>
    </w:p>
    <w:p>
      <w:pPr>
        <w:spacing w:after="100" w:before="240"/>
      </w:pPr>
      <w:r>
        <w:rPr>
          <w:rFonts w:ascii="Times New Roman" w:cs="Times New Roman" w:eastAsia="Times New Roman" w:hAnsi="Times New Roman"/>
          <w:b/>
          <w:bCs/>
          <w:i/>
          <w:iCs/>
          <w:sz w:val="28"/>
          <w:szCs w:val="28"/>
        </w:rPr>
        <w:t xml:space="preserve">4.3. Хулоса</w:t>
      </w:r>
    </w:p>
    <w:p>
      <w:pPr>
        <w:spacing w:after="80" w:before="80" w:line="360" w:lineRule="auto"/>
        <w:ind w:firstLine="720"/>
        <w:jc w:val="both"/>
      </w:pPr>
      <w:r>
        <w:rPr>
          <w:rFonts w:ascii="Times New Roman" w:cs="Times New Roman" w:eastAsia="Times New Roman" w:hAnsi="Times New Roman"/>
          <w:sz w:val="28"/>
          <w:szCs w:val="28"/>
        </w:rPr>
        <w:t xml:space="preserve">Мазкур тадқиқот ўзбек тилидаги зиёрат туризми терминологиясида тизимли нотекислик мавжудлигини кўрсатди. Давлат ҳужжатлари, академик адабиётлар ва соҳавий амалиёт даражасида тўртта асосий атама аниқ чегараланмасдан параллел ишлатилмоқда. Мақолада ўнта луғат, давлат ҳужжатлари ва жойида кузатув маълумотлари асосида уч принципли методологик ёндашув таклиф этилди ва ўн тўртта асосий атама учун стандарт таърифлар ишлаб чиқилди. Мақолага илова тариқасида 17 тилда — Ўзбекистон туристик оқимлари статистикаси асосида танланган — 26 атамадан иборат кўп тилли глоссарий тақдим этилади.</w:t>
      </w:r>
    </w:p>
    <w:p>
      <w:pPr>
        <w:pBdr>
          <w:bottom w:val="single" w:color="1A3A5C" w:sz="6" w:space="4"/>
        </w:pBdr>
        <w:spacing w:before="120"/>
      </w:pPr>
      <w:r>
        <w:t xml:space="preserve"/>
      </w:r>
    </w:p>
    <w:p>
      <w:pPr>
        <w:spacing w:before="0"/>
      </w:pPr>
      <w:r>
        <w:br w:type="page"/>
      </w:r>
    </w:p>
    <w:p>
      <w:pPr>
        <w:pBdr>
          <w:bottom w:val="single" w:color="1A3A5C" w:sz="8" w:space="6"/>
        </w:pBdr>
        <w:spacing w:after="240" w:before="480"/>
        <w:jc w:val="center"/>
      </w:pPr>
      <w:r>
        <w:rPr>
          <w:rFonts w:ascii="Times New Roman" w:cs="Times New Roman" w:eastAsia="Times New Roman" w:hAnsi="Times New Roman"/>
          <w:b/>
          <w:bCs/>
          <w:sz w:val="32"/>
          <w:szCs w:val="32"/>
        </w:rPr>
        <w:t xml:space="preserve">ФОЙДАЛАНИЛГАН АДАБИЁТЛАР</w:t>
      </w:r>
    </w:p>
    <w:p>
      <w:pPr>
        <w:spacing w:after="80" w:before="80" w:line="360" w:lineRule="auto"/>
        <w:ind w:firstLine="720"/>
        <w:jc w:val="both"/>
      </w:pPr>
      <w:r>
        <w:rPr>
          <w:rFonts w:ascii="Times New Roman" w:cs="Times New Roman" w:eastAsia="Times New Roman" w:hAnsi="Times New Roman"/>
          <w:sz w:val="28"/>
          <w:szCs w:val="28"/>
        </w:rPr>
        <w:t xml:space="preserve">1. Аминов М., Мадвалиев А., Маҳкамов Н. ва бошқ. Давлат тилида иш юритиш. Тошкент: ЎзР ФА, 2020. – 528 б.</w:t>
      </w:r>
    </w:p>
    <w:p>
      <w:pPr>
        <w:spacing w:after="80" w:before="80" w:line="360" w:lineRule="auto"/>
        <w:ind w:firstLine="720"/>
        <w:jc w:val="both"/>
      </w:pPr>
      <w:r>
        <w:rPr>
          <w:rFonts w:ascii="Times New Roman" w:cs="Times New Roman" w:eastAsia="Times New Roman" w:hAnsi="Times New Roman"/>
          <w:sz w:val="28"/>
          <w:szCs w:val="28"/>
        </w:rPr>
        <w:t xml:space="preserve">2. Абашин С. Мазар Бобои-об: о типичности и нетипичности святых мест в Средней Азии. СПб.: МАЭ РАН, 2010. – 45 с.</w:t>
      </w:r>
    </w:p>
    <w:p>
      <w:pPr>
        <w:spacing w:after="80" w:before="80" w:line="360" w:lineRule="auto"/>
        <w:ind w:firstLine="720"/>
        <w:jc w:val="both"/>
      </w:pPr>
      <w:r>
        <w:rPr>
          <w:rFonts w:ascii="Times New Roman" w:cs="Times New Roman" w:eastAsia="Times New Roman" w:hAnsi="Times New Roman"/>
          <w:sz w:val="28"/>
          <w:szCs w:val="28"/>
        </w:rPr>
        <w:t xml:space="preserve">3. Абдулахатов Н.У. Фарғона водийси аҳолиси турмуш тарзида зиёратнинг ўрни. Тошкент, 2008. – 92 б.</w:t>
      </w:r>
    </w:p>
    <w:p>
      <w:pPr>
        <w:spacing w:after="80" w:before="80" w:line="360" w:lineRule="auto"/>
        <w:ind w:firstLine="720"/>
        <w:jc w:val="both"/>
      </w:pPr>
      <w:r>
        <w:rPr>
          <w:rFonts w:ascii="Times New Roman" w:cs="Times New Roman" w:eastAsia="Times New Roman" w:hAnsi="Times New Roman"/>
          <w:sz w:val="28"/>
          <w:szCs w:val="28"/>
        </w:rPr>
        <w:t xml:space="preserve">4. Abdukarimov A. Fractal Metascience Paradigm: Foundations. SSRN, 2025. DOI: 10.2139/ssrn.XXXXXX</w:t>
      </w:r>
    </w:p>
    <w:p>
      <w:pPr>
        <w:spacing w:after="80" w:before="80" w:line="360" w:lineRule="auto"/>
        <w:ind w:firstLine="720"/>
        <w:jc w:val="both"/>
      </w:pPr>
      <w:r>
        <w:rPr>
          <w:rFonts w:ascii="Times New Roman" w:cs="Times New Roman" w:eastAsia="Times New Roman" w:hAnsi="Times New Roman"/>
          <w:sz w:val="28"/>
          <w:szCs w:val="28"/>
        </w:rPr>
        <w:t xml:space="preserve">5. Abdukarimov A. Invisible Shadow: Towards a Universal Ontology of Trace, Continuity, and Care. Zenodo, 2025.</w:t>
      </w:r>
    </w:p>
    <w:p>
      <w:pPr>
        <w:spacing w:after="80" w:before="80" w:line="360" w:lineRule="auto"/>
        <w:ind w:firstLine="720"/>
        <w:jc w:val="both"/>
      </w:pPr>
      <w:r>
        <w:rPr>
          <w:rFonts w:ascii="Times New Roman" w:cs="Times New Roman" w:eastAsia="Times New Roman" w:hAnsi="Times New Roman"/>
          <w:sz w:val="28"/>
          <w:szCs w:val="28"/>
        </w:rPr>
        <w:t xml:space="preserve">6. Бабажанов Б. Ислам в Узбекистане: история и современность. Тошкент: Фан, 2010. – 210 с.</w:t>
      </w:r>
    </w:p>
    <w:p>
      <w:pPr>
        <w:spacing w:after="80" w:before="80" w:line="360" w:lineRule="auto"/>
        <w:ind w:firstLine="720"/>
        <w:jc w:val="both"/>
      </w:pPr>
      <w:r>
        <w:rPr>
          <w:rFonts w:ascii="Times New Roman" w:cs="Times New Roman" w:eastAsia="Times New Roman" w:hAnsi="Times New Roman"/>
          <w:sz w:val="28"/>
          <w:szCs w:val="28"/>
        </w:rPr>
        <w:t xml:space="preserve">7. Географиядан изоҳли луғат / Карзаев С., Гулямов П., Патиёқамзал, Раҳимбеков Р. Тошкент: Ўқитувчи, 1979. – 157 б.</w:t>
      </w:r>
    </w:p>
    <w:p>
      <w:pPr>
        <w:spacing w:after="80" w:before="80" w:line="360" w:lineRule="auto"/>
        <w:ind w:firstLine="720"/>
        <w:jc w:val="both"/>
      </w:pPr>
      <w:r>
        <w:rPr>
          <w:rFonts w:ascii="Times New Roman" w:cs="Times New Roman" w:eastAsia="Times New Roman" w:hAnsi="Times New Roman"/>
          <w:sz w:val="28"/>
          <w:szCs w:val="28"/>
        </w:rPr>
        <w:t xml:space="preserve">8. Дыбо А.В. Этимологический словарь базисной лексики тюркских языков. Т. 9. Астана: Prosper Print, 2013. – 616 с.</w:t>
      </w:r>
    </w:p>
    <w:p>
      <w:pPr>
        <w:spacing w:after="80" w:before="80" w:line="360" w:lineRule="auto"/>
        <w:ind w:firstLine="720"/>
        <w:jc w:val="both"/>
      </w:pPr>
      <w:r>
        <w:rPr>
          <w:rFonts w:ascii="Times New Roman" w:cs="Times New Roman" w:eastAsia="Times New Roman" w:hAnsi="Times New Roman"/>
          <w:sz w:val="28"/>
          <w:szCs w:val="28"/>
        </w:rPr>
        <w:t xml:space="preserve">9. Du Cros H., McKercher B. Cultural Tourism. 2nd ed. London: Routledge, 2015. – 342 p.</w:t>
      </w:r>
    </w:p>
    <w:p>
      <w:pPr>
        <w:spacing w:after="80" w:before="80" w:line="360" w:lineRule="auto"/>
        <w:ind w:firstLine="720"/>
        <w:jc w:val="both"/>
      </w:pPr>
      <w:r>
        <w:rPr>
          <w:rFonts w:ascii="Times New Roman" w:cs="Times New Roman" w:eastAsia="Times New Roman" w:hAnsi="Times New Roman"/>
          <w:sz w:val="28"/>
          <w:szCs w:val="28"/>
        </w:rPr>
        <w:t xml:space="preserve">10. Ebadi M. Shrine pilgrimage (ziyārat) in Turco-Iranian cultural regions // International Journal of Religious Tourism and Pilgrimage. 2020. Vol. 4(1). – P. 70–77.</w:t>
      </w:r>
    </w:p>
    <w:p>
      <w:pPr>
        <w:spacing w:after="80" w:before="80" w:line="360" w:lineRule="auto"/>
        <w:ind w:firstLine="720"/>
        <w:jc w:val="both"/>
      </w:pPr>
      <w:r>
        <w:rPr>
          <w:rFonts w:ascii="Times New Roman" w:cs="Times New Roman" w:eastAsia="Times New Roman" w:hAnsi="Times New Roman"/>
          <w:sz w:val="28"/>
          <w:szCs w:val="28"/>
        </w:rPr>
        <w:t xml:space="preserve">11. Жой номлари қисқача изоҳли луғати. Тошкент: Ўқитувчи, 1981. – 176 б.</w:t>
      </w:r>
    </w:p>
    <w:p>
      <w:pPr>
        <w:spacing w:after="80" w:before="80" w:line="360" w:lineRule="auto"/>
        <w:ind w:firstLine="720"/>
        <w:jc w:val="both"/>
      </w:pPr>
      <w:r>
        <w:rPr>
          <w:rFonts w:ascii="Times New Roman" w:cs="Times New Roman" w:eastAsia="Times New Roman" w:hAnsi="Times New Roman"/>
          <w:sz w:val="28"/>
          <w:szCs w:val="28"/>
        </w:rPr>
        <w:t xml:space="preserve">12. Маҳмудов Н., Маҳкамов Н. Ўзбек тили терминологиясини стандартлаштириш масалалари. Тошкент, 2020. – 120 б.</w:t>
      </w:r>
    </w:p>
    <w:p>
      <w:pPr>
        <w:spacing w:after="80" w:before="80" w:line="360" w:lineRule="auto"/>
        <w:ind w:firstLine="720"/>
        <w:jc w:val="both"/>
      </w:pPr>
      <w:r>
        <w:rPr>
          <w:rFonts w:ascii="Times New Roman" w:cs="Times New Roman" w:eastAsia="Times New Roman" w:hAnsi="Times New Roman"/>
          <w:sz w:val="28"/>
          <w:szCs w:val="28"/>
        </w:rPr>
        <w:t xml:space="preserve">13. Муминов А. Святые места Мавераннахра: тарих ва анъаналар. Тошкент, 2005. – 112 с.</w:t>
      </w:r>
    </w:p>
    <w:p>
      <w:pPr>
        <w:spacing w:after="80" w:before="80" w:line="360" w:lineRule="auto"/>
        <w:ind w:firstLine="720"/>
        <w:jc w:val="both"/>
      </w:pPr>
      <w:r>
        <w:rPr>
          <w:rFonts w:ascii="Times New Roman" w:cs="Times New Roman" w:eastAsia="Times New Roman" w:hAnsi="Times New Roman"/>
          <w:sz w:val="28"/>
          <w:szCs w:val="28"/>
        </w:rPr>
        <w:t xml:space="preserve">14. Раҳматуллаев Ш. Ўзбек тилининг изоҳли фразеологик луғати. Тошкент: Ўқитувчи, 1978. – 407 б.</w:t>
      </w:r>
    </w:p>
    <w:p>
      <w:pPr>
        <w:spacing w:after="80" w:before="80" w:line="360" w:lineRule="auto"/>
        <w:ind w:firstLine="720"/>
        <w:jc w:val="both"/>
      </w:pPr>
      <w:r>
        <w:rPr>
          <w:rFonts w:ascii="Times New Roman" w:cs="Times New Roman" w:eastAsia="Times New Roman" w:hAnsi="Times New Roman"/>
          <w:sz w:val="28"/>
          <w:szCs w:val="28"/>
        </w:rPr>
        <w:t xml:space="preserve">15. Чориев З. Тарих атамаларининг қисқача изоҳли луғати: қадимги ва ўрта асрлар. Тошкент: Шарқ, 1999. – 144 б.</w:t>
      </w:r>
    </w:p>
    <w:p>
      <w:pPr>
        <w:spacing w:after="80" w:before="80" w:line="360" w:lineRule="auto"/>
        <w:ind w:firstLine="720"/>
        <w:jc w:val="both"/>
      </w:pPr>
      <w:r>
        <w:rPr>
          <w:rFonts w:ascii="Times New Roman" w:cs="Times New Roman" w:eastAsia="Times New Roman" w:hAnsi="Times New Roman"/>
          <w:sz w:val="28"/>
          <w:szCs w:val="28"/>
        </w:rPr>
        <w:t xml:space="preserve">16. UNESCO. Convention for the Safeguarding of the Intangible Cultural Heritage. Paris: UNESCO, 2003.</w:t>
      </w:r>
    </w:p>
    <w:p>
      <w:pPr>
        <w:spacing w:after="80" w:before="80" w:line="360" w:lineRule="auto"/>
        <w:ind w:firstLine="720"/>
        <w:jc w:val="both"/>
      </w:pPr>
      <w:r>
        <w:rPr>
          <w:rFonts w:ascii="Times New Roman" w:cs="Times New Roman" w:eastAsia="Times New Roman" w:hAnsi="Times New Roman"/>
          <w:sz w:val="28"/>
          <w:szCs w:val="28"/>
        </w:rPr>
        <w:t xml:space="preserve">17. UNWTO. Global Report on Religious Tourism. Madrid: UNWTO, 2019.</w:t>
      </w:r>
    </w:p>
    <w:p>
      <w:pPr>
        <w:spacing w:after="80" w:before="80" w:line="360" w:lineRule="auto"/>
        <w:ind w:firstLine="720"/>
        <w:jc w:val="both"/>
      </w:pPr>
      <w:r>
        <w:rPr>
          <w:rFonts w:ascii="Times New Roman" w:cs="Times New Roman" w:eastAsia="Times New Roman" w:hAnsi="Times New Roman"/>
          <w:sz w:val="28"/>
          <w:szCs w:val="28"/>
        </w:rPr>
        <w:t xml:space="preserve">18. ПҚ–4095-сон Қарор, 05.01.2019. https://lex.uz/docs/4141452</w:t>
      </w:r>
    </w:p>
    <w:p>
      <w:pPr>
        <w:spacing w:after="80" w:before="80" w:line="360" w:lineRule="auto"/>
        <w:ind w:firstLine="720"/>
        <w:jc w:val="both"/>
      </w:pPr>
      <w:r>
        <w:rPr>
          <w:rFonts w:ascii="Times New Roman" w:cs="Times New Roman" w:eastAsia="Times New Roman" w:hAnsi="Times New Roman"/>
          <w:sz w:val="28"/>
          <w:szCs w:val="28"/>
        </w:rPr>
        <w:t xml:space="preserve">19. ПФ-6165-сон Фармон, 09.02.2021. https://lex.uz/docs/5283956</w:t>
      </w:r>
    </w:p>
    <w:p>
      <w:pPr>
        <w:spacing w:after="80" w:before="80" w:line="360" w:lineRule="auto"/>
        <w:ind w:firstLine="720"/>
        <w:jc w:val="both"/>
      </w:pPr>
      <w:r>
        <w:rPr>
          <w:rFonts w:ascii="Times New Roman" w:cs="Times New Roman" w:eastAsia="Times New Roman" w:hAnsi="Times New Roman"/>
          <w:sz w:val="28"/>
          <w:szCs w:val="28"/>
        </w:rPr>
        <w:t xml:space="preserve">20. Вазирлар Маҳкамаси қарори, 09.01.2026. https://lex.uz/docs/7981827</w:t>
      </w:r>
    </w:p>
    <w:p>
      <w:pPr>
        <w:pBdr>
          <w:bottom w:val="single" w:color="1A3A5C" w:sz="6" w:space="4"/>
        </w:pBdr>
        <w:spacing w:before="120"/>
      </w:pPr>
      <w:r>
        <w:t xml:space="preserve"/>
      </w:r>
    </w:p>
    <w:p>
      <w:pPr>
        <w:spacing w:before="0"/>
      </w:pPr>
      <w:r>
        <w:br w:type="page"/>
      </w:r>
    </w:p>
    <w:p>
      <w:pPr>
        <w:pBdr>
          <w:bottom w:val="single" w:color="1A3A5C" w:sz="8" w:space="6"/>
        </w:pBdr>
        <w:spacing w:after="240" w:before="480"/>
        <w:jc w:val="center"/>
      </w:pPr>
      <w:r>
        <w:rPr>
          <w:rFonts w:ascii="Times New Roman" w:cs="Times New Roman" w:eastAsia="Times New Roman" w:hAnsi="Times New Roman"/>
          <w:b/>
          <w:bCs/>
          <w:sz w:val="32"/>
          <w:szCs w:val="32"/>
        </w:rPr>
        <w:t xml:space="preserve">ИЛОВА: ЗИЁРАТ ТУРИЗМИ АТАМАЛАРИНИНГ КЎП ТИЛЛИ ГЛОССАРИЙСИ</w:t>
      </w:r>
    </w:p>
    <w:p>
      <w:pPr>
        <w:spacing w:after="80" w:before="80"/>
        <w:jc w:val="center"/>
      </w:pPr>
      <w:r>
        <w:rPr>
          <w:rFonts w:ascii="Times New Roman" w:cs="Times New Roman" w:eastAsia="Times New Roman" w:hAnsi="Times New Roman"/>
          <w:i/>
          <w:iCs/>
          <w:sz w:val="28"/>
          <w:szCs w:val="28"/>
        </w:rPr>
        <w:t xml:space="preserve">Multilingual Glossary of Ziyarat Tourism Terms (17 Languages, 26 Terms)</w:t>
      </w:r>
    </w:p>
    <w:p>
      <w:pPr>
        <w:spacing w:before="40"/>
      </w:pPr>
      <w:r>
        <w:t xml:space="preserve"/>
      </w:r>
    </w:p>
    <w:p>
      <w:pPr>
        <w:spacing w:after="100" w:before="240"/>
      </w:pPr>
      <w:r>
        <w:rPr>
          <w:rFonts w:ascii="Times New Roman" w:cs="Times New Roman" w:eastAsia="Times New Roman" w:hAnsi="Times New Roman"/>
          <w:b/>
          <w:bCs/>
          <w:i/>
          <w:iCs/>
          <w:sz w:val="28"/>
          <w:szCs w:val="28"/>
        </w:rPr>
        <w:t xml:space="preserve">Луғат тузишда тил танлашнинг методологик асоси</w:t>
      </w:r>
    </w:p>
    <w:p>
      <w:pPr>
        <w:spacing w:after="80" w:before="80" w:line="360" w:lineRule="auto"/>
        <w:ind w:firstLine="720"/>
        <w:jc w:val="both"/>
      </w:pPr>
      <w:r>
        <w:rPr>
          <w:rFonts w:ascii="Times New Roman" w:cs="Times New Roman" w:eastAsia="Times New Roman" w:hAnsi="Times New Roman"/>
          <w:sz w:val="28"/>
          <w:szCs w:val="28"/>
        </w:rPr>
        <w:t xml:space="preserve">Қуйидаги 17 тил Ўзбекистон Агентство по статистике маълумотлари (2023–2024) бўйича туристик оқим статистикаси, ЖТТ расмий тиллар рўйхати ва зиёрат туризми контексти асосида танланган. 2024 йилда Ўзбекистонни 8,2 миллион хорижий туристлар зиёрат қилган бўлиб, «Ўзбекистон–2030» стратегиясида зиёрат туризми бўйича 3 миллион зиёратчига эришиш мақсади белгиланган.</w:t>
      </w:r>
    </w:p>
    <w:p>
      <w:pPr>
        <w:spacing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600"/>
        <w:gridCol w:w="1600"/>
        <w:gridCol w:w="3600"/>
      </w:tblGrid>
      <w:tr>
        <w:trPr>
          <w:tblHeader/>
        </w:trPr>
        <w:tc>
          <w:tcPr>
            <w:tcW w:type="dxa" w:w="5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Код</w:t>
            </w:r>
          </w:p>
        </w:tc>
        <w:tc>
          <w:tcPr>
            <w:tcW w:type="dxa" w:w="15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Тил</w:t>
            </w:r>
          </w:p>
        </w:tc>
        <w:tc>
          <w:tcPr>
            <w:tcW w:type="dxa" w:w="16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Language</w:t>
            </w:r>
          </w:p>
        </w:tc>
        <w:tc>
          <w:tcPr>
            <w:tcW w:type="dxa" w:w="16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Туристлар 2023</w:t>
            </w:r>
          </w:p>
        </w:tc>
        <w:tc>
          <w:tcPr>
            <w:tcW w:type="dxa" w:w="36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Тўлдириш сабаби</w:t>
            </w:r>
          </w:p>
        </w:tc>
      </w:tr>
      <w:tr>
        <w:tc>
          <w:tcPr>
            <w:tcW w:type="dxa" w:w="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UZ</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Ўзбекча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Uzbek</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Асосий тил</w:t>
            </w:r>
          </w:p>
        </w:tc>
        <w:tc>
          <w:tcPr>
            <w:tcW w:type="dxa" w:w="3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Меzbon тил</w:t>
            </w:r>
          </w:p>
        </w:tc>
      </w:tr>
      <w:tr>
        <w:tc>
          <w:tcPr>
            <w:tcW w:type="dxa" w:w="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RU</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Русча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Russian</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714 300</w:t>
            </w:r>
          </w:p>
        </w:tc>
        <w:tc>
          <w:tcPr>
            <w:tcW w:type="dxa" w:w="3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4-ўрин + МДҲ</w:t>
            </w:r>
          </w:p>
        </w:tc>
      </w:tr>
      <w:tr>
        <w:tc>
          <w:tcPr>
            <w:tcW w:type="dxa" w:w="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EN</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Инглизча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English</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23 000+</w:t>
            </w:r>
          </w:p>
        </w:tc>
        <w:tc>
          <w:tcPr>
            <w:tcW w:type="dxa" w:w="3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ЖТТ + халқаро</w:t>
            </w:r>
          </w:p>
        </w:tc>
      </w:tr>
      <w:tr>
        <w:tc>
          <w:tcPr>
            <w:tcW w:type="dxa" w:w="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DE</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Немисча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German</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29 600</w:t>
            </w:r>
          </w:p>
        </w:tc>
        <w:tc>
          <w:tcPr>
            <w:tcW w:type="dxa" w:w="3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5-ўрин (Европа)</w:t>
            </w:r>
          </w:p>
        </w:tc>
      </w:tr>
      <w:tr>
        <w:tc>
          <w:tcPr>
            <w:tcW w:type="dxa" w:w="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TJ</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Тожикча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Tajik</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2 150 000</w:t>
            </w:r>
          </w:p>
        </w:tc>
        <w:tc>
          <w:tcPr>
            <w:tcW w:type="dxa" w:w="3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1-ўрин</w:t>
            </w:r>
          </w:p>
        </w:tc>
      </w:tr>
      <w:tr>
        <w:tc>
          <w:tcPr>
            <w:tcW w:type="dxa" w:w="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KY</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Қирғизча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Kyrgyz</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1 750 000</w:t>
            </w:r>
          </w:p>
        </w:tc>
        <w:tc>
          <w:tcPr>
            <w:tcW w:type="dxa" w:w="3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2-ўрин</w:t>
            </w:r>
          </w:p>
        </w:tc>
      </w:tr>
      <w:tr>
        <w:tc>
          <w:tcPr>
            <w:tcW w:type="dxa" w:w="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KK</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Қозоқча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Kazakh</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1 330 000</w:t>
            </w:r>
          </w:p>
        </w:tc>
        <w:tc>
          <w:tcPr>
            <w:tcW w:type="dxa" w:w="3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3-ўрин</w:t>
            </w:r>
          </w:p>
        </w:tc>
      </w:tr>
      <w:tr>
        <w:tc>
          <w:tcPr>
            <w:tcW w:type="dxa" w:w="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TK</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Туркманча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Turkmen</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100 300</w:t>
            </w:r>
          </w:p>
        </w:tc>
        <w:tc>
          <w:tcPr>
            <w:tcW w:type="dxa" w:w="3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6-ўрин</w:t>
            </w:r>
          </w:p>
        </w:tc>
      </w:tr>
      <w:tr>
        <w:tc>
          <w:tcPr>
            <w:tcW w:type="dxa" w:w="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TR</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Туркча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Turkish</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106 500</w:t>
            </w:r>
          </w:p>
        </w:tc>
        <w:tc>
          <w:tcPr>
            <w:tcW w:type="dxa" w:w="3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5-ўрин + ислом</w:t>
            </w:r>
          </w:p>
        </w:tc>
      </w:tr>
      <w:tr>
        <w:tc>
          <w:tcPr>
            <w:tcW w:type="dxa" w:w="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ZH</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Хитойча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Chinese</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42 500</w:t>
            </w:r>
          </w:p>
        </w:tc>
        <w:tc>
          <w:tcPr>
            <w:tcW w:type="dxa" w:w="3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8-ўрин + ЖТТ</w:t>
            </w:r>
          </w:p>
        </w:tc>
      </w:tr>
      <w:tr>
        <w:tc>
          <w:tcPr>
            <w:tcW w:type="dxa" w:w="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KO</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Корейча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Korean</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37 100</w:t>
            </w:r>
          </w:p>
        </w:tc>
        <w:tc>
          <w:tcPr>
            <w:tcW w:type="dxa" w:w="3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9-ўрин</w:t>
            </w:r>
          </w:p>
        </w:tc>
      </w:tr>
      <w:tr>
        <w:tc>
          <w:tcPr>
            <w:tcW w:type="dxa" w:w="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HI</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Ҳиндча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Hindi</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45 500</w:t>
            </w:r>
          </w:p>
        </w:tc>
        <w:tc>
          <w:tcPr>
            <w:tcW w:type="dxa" w:w="3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7-ўрин</w:t>
            </w:r>
          </w:p>
        </w:tc>
      </w:tr>
      <w:tr>
        <w:tc>
          <w:tcPr>
            <w:tcW w:type="dxa" w:w="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FA</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Форсча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Persian</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c>
          <w:tcPr>
            <w:tcW w:type="dxa" w:w="3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Ислом + Эрон + Дарӣ</w:t>
            </w:r>
          </w:p>
        </w:tc>
      </w:tr>
      <w:tr>
        <w:tc>
          <w:tcPr>
            <w:tcW w:type="dxa" w:w="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AR</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Арабча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Arabic</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c>
          <w:tcPr>
            <w:tcW w:type="dxa" w:w="3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ЖТТ + ИҲТ</w:t>
            </w:r>
          </w:p>
        </w:tc>
      </w:tr>
      <w:tr>
        <w:tc>
          <w:tcPr>
            <w:tcW w:type="dxa" w:w="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FR</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Французча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French</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18 600</w:t>
            </w:r>
          </w:p>
        </w:tc>
        <w:tc>
          <w:tcPr>
            <w:tcW w:type="dxa" w:w="3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13-ўрин + ЖТТ</w:t>
            </w:r>
          </w:p>
        </w:tc>
      </w:tr>
      <w:tr>
        <w:tc>
          <w:tcPr>
            <w:tcW w:type="dxa" w:w="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ES</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Испанча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Spanish</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15 200</w:t>
            </w:r>
          </w:p>
        </w:tc>
        <w:tc>
          <w:tcPr>
            <w:tcW w:type="dxa" w:w="3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15-ўрин + ЖТТ</w:t>
            </w:r>
          </w:p>
        </w:tc>
      </w:tr>
      <w:tr>
        <w:tc>
          <w:tcPr>
            <w:tcW w:type="dxa" w:w="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PS</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Пуштун</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Pashto</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c>
          <w:tcPr>
            <w:tcW w:type="dxa" w:w="3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Афғонистон — зиёрат</w:t>
            </w:r>
          </w:p>
        </w:tc>
      </w:tr>
    </w:tbl>
    <w:p>
      <w:pPr>
        <w:spacing w:before="40"/>
      </w:pPr>
      <w:r>
        <w:t xml:space="preserve"/>
      </w:r>
    </w:p>
    <w:p>
      <w:pPr>
        <w:spacing w:after="100" w:before="240"/>
      </w:pPr>
      <w:r>
        <w:rPr>
          <w:rFonts w:ascii="Times New Roman" w:cs="Times New Roman" w:eastAsia="Times New Roman" w:hAnsi="Times New Roman"/>
          <w:b/>
          <w:bCs/>
          <w:i/>
          <w:iCs/>
          <w:sz w:val="28"/>
          <w:szCs w:val="28"/>
        </w:rPr>
        <w:t xml:space="preserve">Глоссарий A: Ўзбекча • Русча • Инглизча • Немисча • Форсча • Арабча</w:t>
      </w:r>
    </w:p>
    <w:p>
      <w:pPr>
        <w:spacing w:before="4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600"/>
        <w:gridCol w:w="1600"/>
        <w:gridCol w:w="1600"/>
        <w:gridCol w:w="1400"/>
        <w:gridCol w:w="1400"/>
      </w:tblGrid>
      <w:tr>
        <w:trPr>
          <w:tblHeader/>
        </w:trPr>
        <w:tc>
          <w:tcPr>
            <w:tcW w:type="dxa" w:w="4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w:t>
            </w:r>
          </w:p>
        </w:tc>
        <w:tc>
          <w:tcPr>
            <w:tcW w:type="dxa" w:w="15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Ўзбекча (UZ)</w:t>
            </w:r>
          </w:p>
        </w:tc>
        <w:tc>
          <w:tcPr>
            <w:tcW w:type="dxa" w:w="16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Русча (RU)</w:t>
            </w:r>
          </w:p>
        </w:tc>
        <w:tc>
          <w:tcPr>
            <w:tcW w:type="dxa" w:w="16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Инглизча (EN)</w:t>
            </w:r>
          </w:p>
        </w:tc>
        <w:tc>
          <w:tcPr>
            <w:tcW w:type="dxa" w:w="16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Немисча (DE)</w:t>
            </w:r>
          </w:p>
        </w:tc>
        <w:tc>
          <w:tcPr>
            <w:tcW w:type="dxa" w:w="14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Форсча (FA)</w:t>
            </w:r>
          </w:p>
        </w:tc>
        <w:tc>
          <w:tcPr>
            <w:tcW w:type="dxa" w:w="14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Арабча (AR)</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паломничество</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pilgrimage / ziyarat</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зиярат</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зиёратгоҳ</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зиёратгоҳ</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святое место</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sacred site / shrine</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зиёратгоҳ</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қасиетті орын</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3</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мазор</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мазор</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мазар / святилище</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mazar / shrine</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мазор</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мазар</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4</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муқаддас жой</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муқаддас жой</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святое место</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holy place</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ҷои муқаддас</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қасиетті жер</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5</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авлиё</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авлиё</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святой / авлие</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saint / wali</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авлиё</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әулие</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6</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авлиё мозори</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авлиё мозори</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могила святого</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saint's tomb</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мазори авлиё</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әулие мазары</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7</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мақбара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мақбара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мавзолей</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mausoleum</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мақбара</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кесене</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8</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қадамжо</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қадамжо</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место паломничества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sacred footprint site</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қадамгоҳ</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әулиенің ізі</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9</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хонақоҳ</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хонақоҳ</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ханака / суфийская обитель</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khanqah / Sufi lodge</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хонақоҳ</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ханака</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10</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тариқат</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тариқат</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тарикат / суфийский орден</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tariqa / Sufi order</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тариқат</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тариқат</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11</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зиёратчи</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зиёратчи</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паломник</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pilgrim / devotee</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зиёраткунанда</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зиярат етуші</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12</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туризми</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туризми</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паломнический туризм</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pilgrimage tourism</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туризми зиёратӣ</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зиярат туризмі</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13</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диний туризм</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диний туризм</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религиозный туризм</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religious tourism</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туризми динӣ</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діни туризм</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14</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маданий мерос туризми</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маданий мерос туризми</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туризм культ. наследия</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cultural heritage tourism</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туризми мероси фарҳангӣ</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мәдени мұра туризмі</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15</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умра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умра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умра (малое паломничество)</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umrah</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умра</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умра</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16</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ҳаж</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ҳаж</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хадж</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Hajj</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ҳаҷ</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қажылық</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17</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барака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барака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барака / благодать</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baraka</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барака</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берекет</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18</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чилла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чилла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чилля / 40-дневное уединение</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chilla / 40-day retreat</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чилла</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40 күндік</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19</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отин-ойи</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отин-ойи</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отин-ойи / женщина-учитель</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otin-oyi / female teacher</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отинойи</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ана-молла</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20</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вақф</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вақф</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вакф</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waqf</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вақф</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уақыф</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21</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Нақшбандия</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Нақшбандия</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Накшбандия</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Naqshbandiyya</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Нақшбандия</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Нақшбандия</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22</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масжид</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масжид</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мечеть</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mosque</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масҷид</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мешіт</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23</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мадраса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мадраса</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медресе</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madrasa</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мадраса</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медресе</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24</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номоддий маданий мерос</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номоддий маданий мерос</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нематериальное культ. наследие</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intangible cultural heritage</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мероси ғайримоддӣ</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материалдық емес</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25</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маршрути</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маршрути</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паломнический маршрут</w:t>
            </w:r>
          </w:p>
        </w:tc>
        <w:tc>
          <w:tcPr>
            <w:tcW w:type="dxa" w:w="16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pilgrimage route</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маршрути зиёрат</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зиярат маршруты</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26</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тилдан кейинги из</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след за пределами языка</w:t>
            </w:r>
          </w:p>
        </w:tc>
        <w:tc>
          <w:tcPr>
            <w:tcW w:type="dxa" w:w="16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Post-Lingua Trace</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осори фаролингвистӣ</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тілден тыс із</w:t>
            </w:r>
          </w:p>
        </w:tc>
      </w:tr>
    </w:tbl>
    <w:p>
      <w:pPr>
        <w:spacing w:before="40"/>
      </w:pPr>
      <w:r>
        <w:t xml:space="preserve"/>
      </w:r>
    </w:p>
    <w:p>
      <w:pPr>
        <w:spacing w:after="100" w:before="240"/>
      </w:pPr>
      <w:r>
        <w:rPr>
          <w:rFonts w:ascii="Times New Roman" w:cs="Times New Roman" w:eastAsia="Times New Roman" w:hAnsi="Times New Roman"/>
          <w:b/>
          <w:bCs/>
          <w:i/>
          <w:iCs/>
          <w:sz w:val="28"/>
          <w:szCs w:val="28"/>
        </w:rPr>
        <w:t xml:space="preserve">Глоссарий B: Тожикча • Қирғизча • Қозоқча • Туркманча • Туркча</w:t>
      </w:r>
    </w:p>
    <w:p>
      <w:pPr>
        <w:spacing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500"/>
        <w:gridCol w:w="1500"/>
        <w:gridCol w:w="1500"/>
        <w:gridCol w:w="1500"/>
        <w:gridCol w:w="1500"/>
      </w:tblGrid>
      <w:tr>
        <w:trPr>
          <w:tblHeader/>
        </w:trPr>
        <w:tc>
          <w:tcPr>
            <w:tcW w:type="dxa" w:w="4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w:t>
            </w:r>
          </w:p>
        </w:tc>
        <w:tc>
          <w:tcPr>
            <w:tcW w:type="dxa" w:w="15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Ўзбекча (UZ)</w:t>
            </w:r>
          </w:p>
        </w:tc>
        <w:tc>
          <w:tcPr>
            <w:tcW w:type="dxa" w:w="15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Тожикча (TJ)</w:t>
            </w:r>
          </w:p>
        </w:tc>
        <w:tc>
          <w:tcPr>
            <w:tcW w:type="dxa" w:w="15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Қирғизча (KY)</w:t>
            </w:r>
          </w:p>
        </w:tc>
        <w:tc>
          <w:tcPr>
            <w:tcW w:type="dxa" w:w="15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Қозоқча (KK)</w:t>
            </w:r>
          </w:p>
        </w:tc>
        <w:tc>
          <w:tcPr>
            <w:tcW w:type="dxa" w:w="15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Туркманча (TK)</w:t>
            </w:r>
          </w:p>
        </w:tc>
        <w:tc>
          <w:tcPr>
            <w:tcW w:type="dxa" w:w="15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Туркча (TR)</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Wallfahrt / Ziyarat</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زیارت</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زيارة</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tīrtha yātrā</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pèlerinage</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зиёратгоҳ</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Wallfahrtsort</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زیارتگاه</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مقام مقدس</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tīrthasthal</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lieu sacré</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3</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мазор</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Mazar / Schrein</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مزار</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مزار</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mazār</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mausolée / mazar</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4</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муқаддас жой</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heiliger Ort</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مکان مقدس</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مكان مقدس</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pavitra sthān</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lieu saint</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5</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авлиё</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Heiliger / Wali</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اولیا</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ولي</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sant</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saint / wali</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6</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авлиё мозори</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Grab des Heiligen</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آرامگاه اولیا</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قبر الولي</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auliyā mazār</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tombeau du saint</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7</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мақбара</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Mausoleum</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مقبره</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مقبرة</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makbarā</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mausolée</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8</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қадамжо</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Pilgerstätte</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قدمگاه</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موضع الأثر</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pavitra padacihn</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lieu sacré du passage</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9</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хонақоҳ</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Khanqa</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خانقاه</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خانقاه / زاوية</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khānaqāh</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khanqah</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10</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тариқат</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Sufi-Orden</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طریقت</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طريقة</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tarīqa</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tariqa</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11</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зиёратчи</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Pilger</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زیارت‌کننده</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زائر</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tīrthayātrī</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pèlerin</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12</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туризми</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Pilgertourismus</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گردشگری زیارتی</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سياحة الزيارة</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tīrtha paryatan</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tourisme de pèlerinage</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13</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диний туризм</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religiöser Tourismus</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گردشگری مذهبی</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السياحة الدينية</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dhārmik paryatan</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tourisme religieux</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14</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маданий мерос туризми</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Kulturtourismus</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گردشگری میراث فرهنگی</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سياحة التراث الثقافي</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sānskritik virāsat</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tourisme du patrimoine</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15</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умра</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Umra</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عمره</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عُمرة</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umrā</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umra</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16</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ҳаж</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Hadsch</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حج</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الحج</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haj</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hadj</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17</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барака</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Baraka / Segen</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برکت</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بركة</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barakat</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baraka</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18</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чилла</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Chilla</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چله</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الأربعين / خلوة</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chillā</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chilla</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19</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отин-ойи</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Otin-Oyi / Lehrerin</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معلمه دینی زن</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المعلمة الدينية</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mahilā śikṣikā</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enseignante religieuse</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20</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вақф</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Waqf</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وقف</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وقف</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vaqf</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waqf</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21</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Нақшбандия</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Naqshbandiyya</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نقشبندیه</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النقشبندية</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nakshbandiyā</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Naqshbandiyya</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22</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масжид</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Moschee</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مسجد</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مسجد</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masjid</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mosquée</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23</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мадраса</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Madrasa</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مدرسه</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مدرسة</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madrasā</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madrasa</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24</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номоддий маданий мерос</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immaterielles Kulturerbe</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میراث فرهنگی ناملموس</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التراث الثقافي غير المادي</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amūrt sānskritik virāsat</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patrimoine culturel immatériel</w:t>
            </w:r>
          </w:p>
        </w:tc>
      </w:tr>
      <w:tr>
        <w:tc>
          <w:tcPr>
            <w:tcW w:type="dxa" w:w="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25</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маршрути</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Pilgerroute</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مسیر زیارتی</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مسار الزيارة</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tīrtha mārga</w:t>
            </w:r>
          </w:p>
        </w:tc>
        <w:tc>
          <w:tcPr>
            <w:tcW w:type="dxa" w:w="15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itinéraire de pèlerinage</w:t>
            </w:r>
          </w:p>
        </w:tc>
      </w:tr>
      <w:tr>
        <w:tc>
          <w:tcPr>
            <w:tcW w:type="dxa" w:w="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26</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Nachtsprachliche Spur</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اثر فرازبانی</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الأثر ما بعد اللغوي</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bhāṣātīt chāp</w:t>
            </w:r>
          </w:p>
        </w:tc>
        <w:tc>
          <w:tcPr>
            <w:tcW w:type="dxa" w:w="15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Trace Post-Linguistique</w:t>
            </w:r>
          </w:p>
        </w:tc>
      </w:tr>
    </w:tbl>
    <w:p>
      <w:pPr>
        <w:spacing w:before="40"/>
      </w:pPr>
      <w:r>
        <w:t xml:space="preserve"/>
      </w:r>
    </w:p>
    <w:p>
      <w:pPr>
        <w:spacing w:after="100" w:before="240"/>
      </w:pPr>
      <w:r>
        <w:rPr>
          <w:rFonts w:ascii="Times New Roman" w:cs="Times New Roman" w:eastAsia="Times New Roman" w:hAnsi="Times New Roman"/>
          <w:b/>
          <w:bCs/>
          <w:i/>
          <w:iCs/>
          <w:sz w:val="28"/>
          <w:szCs w:val="28"/>
        </w:rPr>
        <w:t xml:space="preserve">Глоссарий C: Хитойча • Корейча • Ҳиндча • Французча • Испанча • Пуштун</w:t>
      </w:r>
    </w:p>
    <w:p>
      <w:pPr>
        <w:spacing w:before="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
        <w:gridCol w:w="1400"/>
        <w:gridCol w:w="1200"/>
        <w:gridCol w:w="1200"/>
        <w:gridCol w:w="1200"/>
        <w:gridCol w:w="1200"/>
        <w:gridCol w:w="1200"/>
        <w:gridCol w:w="1100"/>
      </w:tblGrid>
      <w:tr>
        <w:trPr>
          <w:tblHeader/>
        </w:trPr>
        <w:tc>
          <w:tcPr>
            <w:tcW w:type="dxa" w:w="3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w:t>
            </w:r>
          </w:p>
        </w:tc>
        <w:tc>
          <w:tcPr>
            <w:tcW w:type="dxa" w:w="14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Ўзбекча (UZ)</w:t>
            </w:r>
          </w:p>
        </w:tc>
        <w:tc>
          <w:tcPr>
            <w:tcW w:type="dxa" w:w="12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Хитойча (ZH)</w:t>
            </w:r>
          </w:p>
        </w:tc>
        <w:tc>
          <w:tcPr>
            <w:tcW w:type="dxa" w:w="12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Корейча (KO)</w:t>
            </w:r>
          </w:p>
        </w:tc>
        <w:tc>
          <w:tcPr>
            <w:tcW w:type="dxa" w:w="12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Ҳиндча (HI)</w:t>
            </w:r>
          </w:p>
        </w:tc>
        <w:tc>
          <w:tcPr>
            <w:tcW w:type="dxa" w:w="12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Французча (FR)</w:t>
            </w:r>
          </w:p>
        </w:tc>
        <w:tc>
          <w:tcPr>
            <w:tcW w:type="dxa" w:w="12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Испанча (ES)</w:t>
            </w:r>
          </w:p>
        </w:tc>
        <w:tc>
          <w:tcPr>
            <w:tcW w:type="dxa" w:w="1100"/>
            <w:tcBorders>
              <w:top w:val="single" w:color="1A3A5C" w:sz="5"/>
              <w:left w:val="single" w:color="1A3A5C" w:sz="5"/>
              <w:bottom w:val="single" w:color="1A3A5C" w:sz="5"/>
              <w:right w:val="single" w:color="1A3A5C" w:sz="5"/>
            </w:tcBorders>
            <w:shd w:fill="1A3A5C"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20"/>
                <w:szCs w:val="20"/>
              </w:rPr>
              <w:t xml:space="preserve">Пуштун (PS)</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peregrinaje</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朝圣</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성지순례</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zyýarat</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ziyaret</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зиёратгоҳ</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lugar sagrado</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圣地</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성지</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mukaddes yer</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kutsal yer</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3</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мазор</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mazar / santuario</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麻扎</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마자르</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mazar</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türbe</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4</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муқаддас жой</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lugar santo</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神圣之地</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성스러운 곳</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mukaddes yer</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kutsal yer</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5</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авлиё</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santo / wali</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圣人</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성인</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awliya</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evliya</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6</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авлиё мозори</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tumba del santo</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圣墓</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성인의 묘</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awliya mazary</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türbe</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7</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мақбара</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mausoleo</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陵墓</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능묘</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mäkbere</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türbe</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8</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қадамжо</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lugar sagrado</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圣迹</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성인의 발자취</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mukaddes ýer</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kutsal iz yeri</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9</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хонақоҳ</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khanqah</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苏菲道堂</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수피 수도원</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hanaka</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tekke</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10</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тариқат</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tariqa</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苏菲教团</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수피 교단</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tarygat</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tarikat</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11</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зиёратчи</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peregrino</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朝圣者</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순례자</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zyýaratçy</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ziyaretçi</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12</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туризми</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turismo de peregrinación</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朝圣旅游</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성지순례 관광</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zyýarat syýahatçylygy</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hac turizmi</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13</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диний туризм</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turismo religioso</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宗教旅游</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종교 관광</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dini syýahatçylyk</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dini turizm</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14</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маданий мерос туризми</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turismo del patrimonio</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文化遗产旅游</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문화유산 관광</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medeni miras syýahatçylygy</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kültürel miras turizmi</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15</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умра</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umra</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副朝</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소순례</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umra</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umre</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16</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ҳаж</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hajj</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朝觐</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하지</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hajj</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hac</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17</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барака</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baraka</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巴拉卡</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바라카</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bereket</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bereket</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18</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чилла</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chilla</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四十天闭关</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40일 수련</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çille</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çile</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19</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отин-ойи</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maestra religiosa</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女性教师</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여성 교사</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otin / aýal mollasy</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otun ana</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20</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вақф</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waqf</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瓦克夫</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와크프</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wakf</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vakıf</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21</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Нақшбандия</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Naqshbandiyya</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纳克什班底</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낙슈반디</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Nakşbandyýa</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Nakşibendiyye</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22</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масжид</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mezquita</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清真寺</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모스크</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metjit</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cami</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23</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мадраса</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madrasa</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马德拉萨</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마드라사</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medrese</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medrese</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24</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номоддий маданий мерос</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patrimonio cultural inmaterial</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非物质文化遗产</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무형 문화유산</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maddy däl medeni</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somut olmayan miras</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25</w:t>
            </w:r>
          </w:p>
        </w:tc>
        <w:tc>
          <w:tcPr>
            <w:tcW w:type="dxa" w:w="14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зиёрат маршрути</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ruta de peregrinación</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朝圣路线</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순례 루트</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zyýarat ugry</w:t>
            </w:r>
          </w:p>
        </w:tc>
        <w:tc>
          <w:tcPr>
            <w:tcW w:type="dxa" w:w="12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hac güzergahı</w:t>
            </w:r>
          </w:p>
        </w:tc>
        <w:tc>
          <w:tcPr>
            <w:tcW w:type="dxa" w:w="1100"/>
            <w:tcBorders>
              <w:top w:val="single" w:color="888888" w:sz="3"/>
              <w:left w:val="single" w:color="888888" w:sz="3"/>
              <w:bottom w:val="single" w:color="888888" w:sz="3"/>
              <w:right w:val="single" w:color="888888" w:sz="3"/>
            </w:tcBorders>
            <w:shd w:fill="EBF5FB"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r>
        <w:tc>
          <w:tcPr>
            <w:tcW w:type="dxa" w:w="3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26</w:t>
            </w:r>
          </w:p>
        </w:tc>
        <w:tc>
          <w:tcPr>
            <w:tcW w:type="dxa" w:w="14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Huella Poslingüística</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后语言踪迹</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언어초월흔적</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dil yzly yz</w:t>
            </w:r>
          </w:p>
        </w:tc>
        <w:tc>
          <w:tcPr>
            <w:tcW w:type="dxa" w:w="12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PLT — Dil-Ötesi İz</w:t>
            </w:r>
          </w:p>
        </w:tc>
        <w:tc>
          <w:tcPr>
            <w:tcW w:type="dxa" w:w="1100"/>
            <w:tcBorders>
              <w:top w:val="single" w:color="888888" w:sz="3"/>
              <w:left w:val="single" w:color="888888" w:sz="3"/>
              <w:bottom w:val="single" w:color="888888" w:sz="3"/>
              <w:right w:val="single" w:color="888888" w:sz="3"/>
            </w:tcBorders>
            <w:shd w:fill="FFFFFF" w:val="clear"/>
            <w:tcMar>
              <w:top w:type="dxa" w:w="70"/>
              <w:left w:type="dxa" w:w="100"/>
              <w:bottom w:type="dxa" w:w="70"/>
              <w:right w:type="dxa" w:w="100"/>
            </w:tcMar>
          </w:tcPr>
          <w:p>
            <w:pPr>
              <w:jc w:val="both"/>
            </w:pPr>
            <w:r>
              <w:rPr>
                <w:rFonts w:ascii="Times New Roman" w:cs="Times New Roman" w:eastAsia="Times New Roman" w:hAnsi="Times New Roman"/>
                <w:sz w:val="20"/>
                <w:szCs w:val="20"/>
              </w:rPr>
              <w:t xml:space="preserve">—</w:t>
            </w:r>
          </w:p>
        </w:tc>
      </w:tr>
    </w:tbl>
    <w:p>
      <w:pPr>
        <w:spacing w:before="40"/>
      </w:pPr>
      <w:r>
        <w:t xml:space="preserve"/>
      </w:r>
    </w:p>
    <w:p>
      <w:pPr>
        <w:pBdr>
          <w:top w:val="single" w:color="AAAAAA" w:sz="4" w:space="4"/>
        </w:pBdr>
        <w:spacing w:before="280"/>
      </w:pPr>
      <w:r>
        <w:t xml:space="preserve"/>
      </w:r>
    </w:p>
    <w:p>
      <w:pPr>
        <w:spacing w:after="20" w:before="20"/>
        <w:ind w:left="360"/>
        <w:jc w:val="both"/>
      </w:pPr>
      <w:r>
        <w:rPr>
          <w:rFonts w:ascii="Times New Roman" w:cs="Times New Roman" w:eastAsia="Times New Roman" w:hAnsi="Times New Roman"/>
          <w:i/>
          <w:iCs/>
          <w:color w:val="444444"/>
          <w:sz w:val="20"/>
          <w:szCs w:val="20"/>
        </w:rPr>
        <w:t xml:space="preserve">Изоҳ: PLT (Post-Lingua Trace) — FMP онтологияси (Abdukarimov, 2025) доирасидаги янги академик атама. Зиёрат маросимларида маъноларнинг тил орқали эмас, балки ҳаракат, маросим ва маршрут орқали — «тилдан кейинги из» тариқасида — узатилиши феноменини ифодалайди.</w:t>
      </w:r>
    </w:p>
    <w:p>
      <w:pPr>
        <w:spacing w:after="20" w:before="20"/>
        <w:ind w:left="360"/>
        <w:jc w:val="both"/>
      </w:pPr>
      <w:r>
        <w:rPr>
          <w:rFonts w:ascii="Times New Roman" w:cs="Times New Roman" w:eastAsia="Times New Roman" w:hAnsi="Times New Roman"/>
          <w:i/>
          <w:iCs/>
          <w:color w:val="444444"/>
          <w:sz w:val="20"/>
          <w:szCs w:val="20"/>
        </w:rPr>
        <w:t xml:space="preserve">Манбалар: Агентство статистики РУз (2023); Spot.uz (2024); Daryo.uz (2024); UNWTO (2019); Раҳматуллаев (1978); Чориев (1999); Географиядан изоҳли луғат (1979); Давлат тилида иш юритиш (2020); Abdukarimov A. FMP/Invisible Shadow (2025).</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666666"/>
        <w:sz w:val="20"/>
        <w:szCs w:val="20"/>
      </w:rPr>
      <w:t xml:space="preserve">Тиллябаева Г.Б., Абдукаримов А.А. | «Ўзбек тилида зиёрат туризми терминологиясини унификациялаш муаммолари»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2026-03-23T07:08:25.207Z</dcterms:created>
  <dcterms:modified xsi:type="dcterms:W3CDTF">2026-03-23T07:08:25.207Z</dcterms:modified>
</cp:coreProperties>
</file>

<file path=docProps/custom.xml><?xml version="1.0" encoding="utf-8"?>
<Properties xmlns="http://schemas.openxmlformats.org/officeDocument/2006/custom-properties" xmlns:vt="http://schemas.openxmlformats.org/officeDocument/2006/docPropsVTypes"/>
</file>