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500"/>
      </w:pPr>
      <w:r>
        <w:rPr>
          <w:sz w:val="40"/>
          <w:szCs w:val="40"/>
          <w:b w:val="1"/>
          <w:bCs w:val="1"/>
          <w:smallCaps w:val="1"/>
          <w:caps w:val="0"/>
        </w:rPr>
        <w:t xml:space="preserve">Evaluation du SMSI</w:t>
      </w:r>
    </w:p>
    <w:p>
      <w:pPr>
        <w:pStyle w:val="Heading1"/>
      </w:pPr>
      <w:bookmarkStart w:id="1" w:name="_Toc1"/>
      <w:r>
        <w:t>1	Sensibiliser et former</w:t>
      </w:r>
      <w:bookmarkEnd w:id="1"/>
    </w:p>
    <w:p>
      <w:pPr>
        <w:pStyle w:val="Heading2"/>
      </w:pPr>
      <w:bookmarkStart w:id="2" w:name="_Toc2"/>
      <w:r>
        <w:t>1.1	Former les équipes opérationnelles à la cybersécurité</w:t>
      </w:r>
      <w:bookmarkEnd w:id="2"/>
    </w:p>
    <w:p>
      <w:pPr>
        <w:pStyle w:val="Heading3"/>
      </w:pPr>
      <w:bookmarkStart w:id="3" w:name="_Toc3"/>
      <w:r>
        <w:t>Règle 1.1.1 </w:t>
      </w:r>
      <w:bookmarkEnd w:id="3"/>
    </w:p>
    <w:p>
      <w:pPr/>
      <w:r>
        <w:rPr/>
        <w:t xml:space="preserve">Un plan de formation à la cybersécurité au profit des équipes opérationnelles  existe et est budgétisé.</w:t>
      </w:r>
    </w:p>
    <w:p>
      <w:pPr>
        <w:pStyle w:val="Heading3"/>
      </w:pPr>
      <w:bookmarkStart w:id="4" w:name="_Toc4"/>
      <w:r>
        <w:t>Règle 1.1.2 </w:t>
      </w:r>
      <w:bookmarkEnd w:id="4"/>
    </w:p>
    <w:p>
      <w:pPr/>
      <w:r>
        <w:rPr/>
        <w:t xml:space="preserve">Le plan de formation des équipes opérationnelles est spécifique à chaque métier (administrateur, chef de projet, développeur,...)</w:t>
      </w:r>
    </w:p>
    <w:p>
      <w:pPr>
        <w:pStyle w:val="Heading3"/>
      </w:pPr>
      <w:bookmarkStart w:id="5" w:name="_Toc5"/>
      <w:r>
        <w:t>Règle 1.1.3 </w:t>
      </w:r>
      <w:bookmarkEnd w:id="5"/>
    </w:p>
    <w:p>
      <w:pPr/>
      <w:r>
        <w:rPr/>
        <w:t xml:space="preserve">La formation à la cybersécurité des équipes opérationnelles couvre le volet juridique.</w:t>
      </w:r>
    </w:p>
    <w:p>
      <w:pPr>
        <w:pStyle w:val="Heading3"/>
      </w:pPr>
      <w:bookmarkStart w:id="6" w:name="_Toc6"/>
      <w:r>
        <w:t>Règle 1.1.4 </w:t>
      </w:r>
      <w:bookmarkEnd w:id="6"/>
    </w:p>
    <w:p>
      <w:pPr/>
      <w:r>
        <w:rPr/>
        <w:t xml:space="preserve">La formation à la cybersécurité des équipes opérationnelles détaille les principaux risques et menaces.</w:t>
      </w:r>
    </w:p>
    <w:p>
      <w:pPr>
        <w:pStyle w:val="Heading3"/>
      </w:pPr>
      <w:bookmarkStart w:id="7" w:name="_Toc7"/>
      <w:r>
        <w:t>Règle 1.1.5 </w:t>
      </w:r>
      <w:bookmarkEnd w:id="7"/>
    </w:p>
    <w:p>
      <w:pPr/>
      <w:r>
        <w:rPr/>
        <w:t xml:space="preserve">La formation à la cybersécurité des équipes opérationnelles couvre les notions de maintien en condition de sécurité.</w:t>
      </w:r>
    </w:p>
    <w:p>
      <w:pPr>
        <w:pStyle w:val="Heading3"/>
      </w:pPr>
      <w:bookmarkStart w:id="8" w:name="_Toc8"/>
      <w:r>
        <w:t>Règle 1.1.6 </w:t>
      </w:r>
      <w:bookmarkEnd w:id="8"/>
    </w:p>
    <w:p>
      <w:pPr/>
      <w:r>
        <w:rPr/>
        <w:t xml:space="preserve">La formation à la cybersécurité des équipes opérationnelles détaille les principes et règles de l'authentification et du contrôle d'accès.</w:t>
      </w:r>
    </w:p>
    <w:p>
      <w:pPr>
        <w:pStyle w:val="Heading3"/>
      </w:pPr>
      <w:bookmarkStart w:id="9" w:name="_Toc9"/>
      <w:r>
        <w:t>Règle 1.1.7 </w:t>
      </w:r>
      <w:bookmarkEnd w:id="9"/>
    </w:p>
    <w:p>
      <w:pPr/>
      <w:r>
        <w:rPr/>
        <w:t xml:space="preserve">La formation à la cybersécurité des équipes opérationnelle traite du paramétrage et du durcissement des systèmes d'information.</w:t>
      </w:r>
    </w:p>
    <w:p>
      <w:pPr>
        <w:pStyle w:val="Heading3"/>
      </w:pPr>
      <w:bookmarkStart w:id="10" w:name="_Toc10"/>
      <w:r>
        <w:t>Règle 1.1.8 </w:t>
      </w:r>
      <w:bookmarkEnd w:id="10"/>
    </w:p>
    <w:p>
      <w:pPr/>
      <w:r>
        <w:rPr/>
        <w:t xml:space="preserve">La formation à la cybersécurité des équipes opérationnelle traite de l'architecture sécurisé des systèmes et des réseaux.</w:t>
      </w:r>
    </w:p>
    <w:p>
      <w:pPr>
        <w:pStyle w:val="Heading3"/>
      </w:pPr>
      <w:bookmarkStart w:id="11" w:name="_Toc11"/>
      <w:r>
        <w:t>Règle 1.1.9 </w:t>
      </w:r>
      <w:bookmarkEnd w:id="11"/>
    </w:p>
    <w:p>
      <w:pPr/>
      <w:r>
        <w:rPr/>
        <w:t xml:space="preserve">Les contrats d'externalisation et d'infogérance contiennent une clause garantissant la formation à la cybersécurité du personnel.</w:t>
      </w:r>
    </w:p>
    <w:p>
      <w:pPr>
        <w:pStyle w:val="Heading2"/>
      </w:pPr>
      <w:bookmarkStart w:id="12" w:name="_Toc12"/>
      <w:r>
        <w:t>1.2	Sensibiliser les utilisateurs aux bonnes pratiques élémentaires de sécurité informatique</w:t>
      </w:r>
      <w:bookmarkEnd w:id="12"/>
    </w:p>
    <w:p>
      <w:pPr>
        <w:pStyle w:val="Heading3"/>
      </w:pPr>
      <w:bookmarkStart w:id="13" w:name="_Toc13"/>
      <w:r>
        <w:t>Règle 1.2.1 </w:t>
      </w:r>
      <w:bookmarkEnd w:id="13"/>
    </w:p>
    <w:p>
      <w:pPr/>
      <w:r>
        <w:rPr/>
        <w:t xml:space="preserve">Un plan de sensibilisation à la cybersécurité au profit des utilisateurs existe et est budgétisé.</w:t>
      </w:r>
    </w:p>
    <w:p>
      <w:pPr>
        <w:pStyle w:val="Heading3"/>
      </w:pPr>
      <w:bookmarkStart w:id="14" w:name="_Toc14"/>
      <w:r>
        <w:t>Règle 1.2.2 </w:t>
      </w:r>
      <w:bookmarkEnd w:id="14"/>
    </w:p>
    <w:p>
      <w:pPr/>
      <w:r>
        <w:rPr/>
        <w:t xml:space="preserve">La sensibilisation à la cybersécurité des utilisateurs est systématique et renouvelée régulièrement.</w:t>
      </w:r>
    </w:p>
    <w:p>
      <w:pPr>
        <w:pStyle w:val="Heading3"/>
      </w:pPr>
      <w:bookmarkStart w:id="15" w:name="_Toc15"/>
      <w:r>
        <w:t>Règle 1.2.3 </w:t>
      </w:r>
      <w:bookmarkEnd w:id="15"/>
    </w:p>
    <w:p>
      <w:pPr/>
      <w:r>
        <w:rPr/>
        <w:t xml:space="preserve">La sensibilisation à la cybersécurité des utilisateurs détaille les règles de la politique de sécurité des systèmes d'informations.</w:t>
      </w:r>
    </w:p>
    <w:p>
      <w:pPr>
        <w:pStyle w:val="Heading3"/>
      </w:pPr>
      <w:bookmarkStart w:id="16" w:name="_Toc16"/>
      <w:r>
        <w:t>Règle 1.2.4 </w:t>
      </w:r>
      <w:bookmarkEnd w:id="16"/>
    </w:p>
    <w:p>
      <w:pPr/>
      <w:r>
        <w:rPr/>
        <w:t xml:space="preserve">L'entité a élaboré une charte des moyens informatiques précisant les règles et consignes que doivent respecter les utilisateurs.</w:t>
      </w:r>
    </w:p>
    <w:p>
      <w:pPr>
        <w:pStyle w:val="Heading3"/>
      </w:pPr>
      <w:bookmarkStart w:id="17" w:name="_Toc17"/>
      <w:r>
        <w:t>Règle 1.2.5 </w:t>
      </w:r>
      <w:bookmarkEnd w:id="17"/>
    </w:p>
    <w:p>
      <w:pPr/>
      <w:r>
        <w:rPr/>
        <w:t xml:space="preserve">Chaque utilisateur signe la charte des moyens informatiques.</w:t>
      </w:r>
    </w:p>
    <w:p>
      <w:pPr>
        <w:pStyle w:val="Heading2"/>
      </w:pPr>
      <w:bookmarkStart w:id="18" w:name="_Toc18"/>
      <w:r>
        <w:t>1.3	Maîtriser les risques de l'infogérance</w:t>
      </w:r>
      <w:bookmarkEnd w:id="18"/>
    </w:p>
    <w:p>
      <w:pPr>
        <w:pStyle w:val="Heading3"/>
      </w:pPr>
      <w:bookmarkStart w:id="19" w:name="_Toc19"/>
      <w:r>
        <w:t>Règle 1.3.1 </w:t>
      </w:r>
      <w:bookmarkEnd w:id="19"/>
    </w:p>
    <w:p>
      <w:pPr/>
      <w:r>
        <w:rPr/>
        <w:t xml:space="preserve">Une liste d'exigences précises a été contractualisée avec le prestataires.</w:t>
      </w:r>
    </w:p>
    <w:p>
      <w:pPr>
        <w:pStyle w:val="Heading3"/>
      </w:pPr>
      <w:bookmarkStart w:id="20" w:name="_Toc20"/>
      <w:r>
        <w:t>Règle 1.3.2 </w:t>
      </w:r>
      <w:bookmarkEnd w:id="20"/>
    </w:p>
    <w:p>
      <w:pPr/>
      <w:r>
        <w:rPr/>
        <w:t xml:space="preserve">La liste d'exigences fixe les modalités de réversibilités du contrat.</w:t>
      </w:r>
    </w:p>
    <w:p>
      <w:pPr>
        <w:pStyle w:val="Heading3"/>
      </w:pPr>
      <w:bookmarkStart w:id="21" w:name="_Toc21"/>
      <w:r>
        <w:t>Règle 1.3.3 </w:t>
      </w:r>
      <w:bookmarkEnd w:id="21"/>
    </w:p>
    <w:p>
      <w:pPr/>
      <w:r>
        <w:rPr/>
        <w:t xml:space="preserve">La liste d'exigence détaille les modalités de réalisation d'audits.</w:t>
      </w:r>
    </w:p>
    <w:p>
      <w:pPr>
        <w:pStyle w:val="Heading3"/>
      </w:pPr>
      <w:bookmarkStart w:id="22" w:name="_Toc22"/>
      <w:r>
        <w:t>Règle 1.3.4 </w:t>
      </w:r>
      <w:bookmarkEnd w:id="22"/>
    </w:p>
    <w:p>
      <w:pPr/>
      <w:r>
        <w:rPr/>
        <w:t xml:space="preserve">La liste d'exigence détaille les modalités de sauvegarde et de restitution des données dans un format ouvert normalisé.</w:t>
      </w:r>
    </w:p>
    <w:p>
      <w:pPr>
        <w:pStyle w:val="Heading3"/>
      </w:pPr>
      <w:bookmarkStart w:id="23" w:name="_Toc23"/>
      <w:r>
        <w:t>Règle 1.3.5 </w:t>
      </w:r>
      <w:bookmarkEnd w:id="23"/>
    </w:p>
    <w:p>
      <w:pPr/>
      <w:r>
        <w:rPr/>
        <w:t xml:space="preserve">La liste d'exigence détaille la mise en œuvre du maintien à niveau de la sécurité dans le temps.</w:t>
      </w:r>
    </w:p>
    <w:p>
      <w:pPr>
        <w:pStyle w:val="Heading3"/>
      </w:pPr>
      <w:bookmarkStart w:id="24" w:name="_Toc24"/>
      <w:r>
        <w:t>Règle 1.3.6 </w:t>
      </w:r>
      <w:bookmarkEnd w:id="24"/>
    </w:p>
    <w:p>
      <w:pPr/>
      <w:r>
        <w:rPr/>
        <w:t xml:space="preserve">Pour chaque contrat d'externalisation, le prestataire a fourni un plan d'assurance sécurité (PAS).</w:t>
      </w:r>
    </w:p>
    <w:p>
      <w:r>
        <w:br w:type="page"/>
      </w:r>
    </w:p>
    <w:p>
      <w:pPr>
        <w:pStyle w:val="Heading1"/>
      </w:pPr>
      <w:bookmarkStart w:id="25" w:name="_Toc25"/>
      <w:r>
        <w:t>2	Connaître le système d'information</w:t>
      </w:r>
      <w:bookmarkEnd w:id="25"/>
    </w:p>
    <w:p>
      <w:pPr>
        <w:pStyle w:val="Heading2"/>
      </w:pPr>
      <w:bookmarkStart w:id="26" w:name="_Toc26"/>
      <w:r>
        <w:t>2.1	Identifier les informations et serveurs les plus sensibles et maintenir un schéma du réseau</w:t>
      </w:r>
      <w:bookmarkEnd w:id="26"/>
    </w:p>
    <w:p>
      <w:pPr>
        <w:pStyle w:val="Heading3"/>
      </w:pPr>
      <w:bookmarkStart w:id="27" w:name="_Toc27"/>
      <w:r>
        <w:t>Règle 2.1.1 </w:t>
      </w:r>
      <w:bookmarkEnd w:id="27"/>
    </w:p>
    <w:p>
      <w:pPr/>
      <w:r>
        <w:rPr/>
        <w:t xml:space="preserve">La liste des données sensibles existe et est à jour.</w:t>
      </w:r>
    </w:p>
    <w:p>
      <w:pPr>
        <w:pStyle w:val="Heading3"/>
      </w:pPr>
      <w:bookmarkStart w:id="28" w:name="_Toc28"/>
      <w:r>
        <w:t>Règle 2.1.2 </w:t>
      </w:r>
      <w:bookmarkEnd w:id="28"/>
    </w:p>
    <w:p>
      <w:pPr/>
      <w:r>
        <w:rPr/>
        <w:t xml:space="preserve">La liste des données sensibles précise sur quels composants elles sont stockées ou traitées.</w:t>
      </w:r>
    </w:p>
    <w:p>
      <w:pPr>
        <w:pStyle w:val="Heading3"/>
      </w:pPr>
      <w:bookmarkStart w:id="29" w:name="_Toc29"/>
      <w:r>
        <w:t>Règle 2.1.3 </w:t>
      </w:r>
      <w:bookmarkEnd w:id="29"/>
    </w:p>
    <w:p>
      <w:pPr/>
      <w:r>
        <w:rPr/>
        <w:t xml:space="preserve">Les composants traitants ou hébergeant des données sensibles sont considérés comme critiques.</w:t>
      </w:r>
    </w:p>
    <w:p>
      <w:pPr>
        <w:pStyle w:val="Heading3"/>
      </w:pPr>
      <w:bookmarkStart w:id="30" w:name="_Toc30"/>
      <w:r>
        <w:t>Règle 2.1.4 </w:t>
      </w:r>
      <w:bookmarkEnd w:id="30"/>
    </w:p>
    <w:p>
      <w:pPr/>
      <w:r>
        <w:rPr/>
        <w:t xml:space="preserve">Des mesures de sécurité spécifiques sont décrites pour les composants critiques (sauvegarde, mise à jour, contrôle d'accès)</w:t>
      </w:r>
    </w:p>
    <w:p>
      <w:pPr>
        <w:pStyle w:val="Heading3"/>
      </w:pPr>
      <w:bookmarkStart w:id="31" w:name="_Toc31"/>
      <w:r>
        <w:t>Règle 2.1.5 </w:t>
      </w:r>
      <w:bookmarkEnd w:id="31"/>
    </w:p>
    <w:p>
      <w:pPr/>
      <w:r>
        <w:rPr/>
        <w:t xml:space="preserve">Un schéma du réseau existe et est à jour.</w:t>
      </w:r>
    </w:p>
    <w:p>
      <w:pPr>
        <w:pStyle w:val="Heading3"/>
      </w:pPr>
      <w:bookmarkStart w:id="32" w:name="_Toc32"/>
      <w:r>
        <w:t>Règle 2.1.6 </w:t>
      </w:r>
      <w:bookmarkEnd w:id="32"/>
    </w:p>
    <w:p>
      <w:pPr/>
      <w:r>
        <w:rPr/>
        <w:t xml:space="preserve">Le schéma du réseau précise le positionnement des équipements réseaux et de sécurité.</w:t>
      </w:r>
    </w:p>
    <w:p>
      <w:pPr>
        <w:pStyle w:val="Heading3"/>
      </w:pPr>
      <w:bookmarkStart w:id="33" w:name="_Toc33"/>
      <w:r>
        <w:t>Règle 2.1.7 </w:t>
      </w:r>
      <w:bookmarkEnd w:id="33"/>
    </w:p>
    <w:p>
      <w:pPr/>
      <w:r>
        <w:rPr/>
        <w:t xml:space="preserve">Le schéma du réseau identifie les points d'interconnexion avec Internet et avec les partenaires.</w:t>
      </w:r>
    </w:p>
    <w:p>
      <w:pPr>
        <w:pStyle w:val="Heading3"/>
      </w:pPr>
      <w:bookmarkStart w:id="34" w:name="_Toc34"/>
      <w:r>
        <w:t>Règle 2.1.8 </w:t>
      </w:r>
      <w:bookmarkEnd w:id="34"/>
    </w:p>
    <w:p>
      <w:pPr/>
      <w:r>
        <w:rPr/>
        <w:t xml:space="preserve">Le schéma du réseau détaille l'emplacement des compsants critiques.</w:t>
      </w:r>
    </w:p>
    <w:p>
      <w:pPr>
        <w:pStyle w:val="Heading3"/>
      </w:pPr>
      <w:bookmarkStart w:id="35" w:name="_Toc35"/>
      <w:r>
        <w:t>Règle 2.1.9 </w:t>
      </w:r>
      <w:bookmarkEnd w:id="35"/>
    </w:p>
    <w:p>
      <w:pPr/>
      <w:r>
        <w:rPr/>
        <w:t xml:space="preserve">Le schéma du réseau détaille le plan d'adressage IP.</w:t>
      </w:r>
    </w:p>
    <w:p>
      <w:pPr>
        <w:pStyle w:val="Heading3"/>
      </w:pPr>
      <w:bookmarkStart w:id="36" w:name="_Toc36"/>
      <w:r>
        <w:t>Règle 2.1.10 </w:t>
      </w:r>
      <w:bookmarkEnd w:id="36"/>
    </w:p>
    <w:p>
      <w:pPr/>
      <w:r>
        <w:rPr/>
        <w:t xml:space="preserve">Le schéma du réseau est considéré comme une donnée sensible.</w:t>
      </w:r>
    </w:p>
    <w:p>
      <w:pPr>
        <w:pStyle w:val="Heading2"/>
      </w:pPr>
      <w:bookmarkStart w:id="37" w:name="_Toc37"/>
      <w:r>
        <w:t>2.2	Disposer d'un inventaire exhaustif des comptes privilégiés et le maintenir à jour</w:t>
      </w:r>
      <w:bookmarkEnd w:id="37"/>
    </w:p>
    <w:p>
      <w:pPr>
        <w:pStyle w:val="Heading3"/>
      </w:pPr>
      <w:bookmarkStart w:id="38" w:name="_Toc38"/>
      <w:r>
        <w:t>Règle 2.2.1 </w:t>
      </w:r>
      <w:bookmarkEnd w:id="38"/>
    </w:p>
    <w:p>
      <w:pPr/>
      <w:r>
        <w:rPr/>
        <w:t xml:space="preserve">La liste des comptes à privilèges existe et est à jour.</w:t>
      </w:r>
    </w:p>
    <w:p>
      <w:pPr>
        <w:pStyle w:val="Heading3"/>
      </w:pPr>
      <w:bookmarkStart w:id="39" w:name="_Toc39"/>
      <w:r>
        <w:t>Règle 2.2.2 </w:t>
      </w:r>
      <w:bookmarkEnd w:id="39"/>
    </w:p>
    <w:p>
      <w:pPr/>
      <w:r>
        <w:rPr/>
        <w:t xml:space="preserve">La liste des comptes à privilèges référence les utilisateurs ayant un compte administrateur sur le système d'information.</w:t>
      </w:r>
    </w:p>
    <w:p>
      <w:pPr>
        <w:pStyle w:val="Heading3"/>
      </w:pPr>
      <w:bookmarkStart w:id="40" w:name="_Toc40"/>
      <w:r>
        <w:t>Règle 2.2.3 </w:t>
      </w:r>
      <w:bookmarkEnd w:id="40"/>
    </w:p>
    <w:p>
      <w:pPr/>
      <w:r>
        <w:rPr/>
        <w:t xml:space="preserve">La liste des comptes à privilèges référence les utilisateurs ayant suffisament de droits pour accéder aux données des responsables.</w:t>
      </w:r>
    </w:p>
    <w:p>
      <w:pPr>
        <w:pStyle w:val="Heading3"/>
      </w:pPr>
      <w:bookmarkStart w:id="41" w:name="_Toc41"/>
      <w:r>
        <w:t>Règle 2.2.4 </w:t>
      </w:r>
      <w:bookmarkEnd w:id="41"/>
    </w:p>
    <w:p>
      <w:pPr/>
      <w:r>
        <w:rPr/>
        <w:t xml:space="preserve">La liste des comptes à privilèges référence les utilisateurs utilisant un poste non administré par le service informatique.</w:t>
      </w:r>
    </w:p>
    <w:p>
      <w:pPr>
        <w:pStyle w:val="Heading3"/>
      </w:pPr>
      <w:bookmarkStart w:id="42" w:name="_Toc42"/>
      <w:r>
        <w:t>Règle 2.2.5 </w:t>
      </w:r>
      <w:bookmarkEnd w:id="42"/>
    </w:p>
    <w:p>
      <w:pPr/>
      <w:r>
        <w:rPr/>
        <w:t xml:space="preserve">La revue périodique des droits d'accès au système d'information est effectuée régulièrement.</w:t>
      </w:r>
    </w:p>
    <w:p>
      <w:pPr>
        <w:pStyle w:val="Heading3"/>
      </w:pPr>
      <w:bookmarkStart w:id="43" w:name="_Toc43"/>
      <w:r>
        <w:t>Règle 2.2.6 </w:t>
      </w:r>
      <w:bookmarkEnd w:id="43"/>
    </w:p>
    <w:p>
      <w:pPr/>
      <w:r>
        <w:rPr/>
        <w:t xml:space="preserve">La revue périodique des droits d'accès au système d'information permet de supprimer les comptes obsolètes.</w:t>
      </w:r>
    </w:p>
    <w:p>
      <w:pPr>
        <w:pStyle w:val="Heading2"/>
      </w:pPr>
      <w:bookmarkStart w:id="44" w:name="_Toc44"/>
      <w:r>
        <w:t>2.3	Organiser les procédures d'arrivée, de départ et de changement de fonction des utilisateurs</w:t>
      </w:r>
      <w:bookmarkEnd w:id="44"/>
    </w:p>
    <w:p>
      <w:pPr>
        <w:pStyle w:val="Heading3"/>
      </w:pPr>
      <w:bookmarkStart w:id="45" w:name="_Toc45"/>
      <w:r>
        <w:t>Règle 2.3.1 </w:t>
      </w:r>
      <w:bookmarkEnd w:id="45"/>
    </w:p>
    <w:p>
      <w:pPr/>
      <w:r>
        <w:rPr/>
        <w:t xml:space="preserve">Une procédure d'arrivée des utilisateurs existe et est à jour.</w:t>
      </w:r>
    </w:p>
    <w:p>
      <w:pPr>
        <w:pStyle w:val="Heading3"/>
      </w:pPr>
      <w:bookmarkStart w:id="46" w:name="_Toc46"/>
      <w:r>
        <w:t>Règle 2.3.2 </w:t>
      </w:r>
      <w:bookmarkEnd w:id="46"/>
    </w:p>
    <w:p>
      <w:pPr/>
      <w:r>
        <w:rPr/>
        <w:t xml:space="preserve">La procédure d'arrivée précise les modalités de création des comptes et des boîtes de messagerie.</w:t>
      </w:r>
    </w:p>
    <w:p>
      <w:pPr>
        <w:pStyle w:val="Heading3"/>
      </w:pPr>
      <w:bookmarkStart w:id="47" w:name="_Toc47"/>
      <w:r>
        <w:t>Règle 2.3.3 </w:t>
      </w:r>
      <w:bookmarkEnd w:id="47"/>
    </w:p>
    <w:p>
      <w:pPr/>
      <w:r>
        <w:rPr/>
        <w:t xml:space="preserve">La procédure d'arrivée précise les modalités d'affectation  des équipements informatiques (ordinateur, smartphone, tablette,...).</w:t>
      </w:r>
    </w:p>
    <w:p>
      <w:pPr>
        <w:pStyle w:val="Heading3"/>
      </w:pPr>
      <w:bookmarkStart w:id="48" w:name="_Toc48"/>
      <w:r>
        <w:t>Règle 2.3.4 </w:t>
      </w:r>
      <w:bookmarkEnd w:id="48"/>
    </w:p>
    <w:p>
      <w:pPr/>
      <w:r>
        <w:rPr/>
        <w:t xml:space="preserve">La procédure de d'arrivée est régulièrement mise à jour.</w:t>
      </w:r>
    </w:p>
    <w:p>
      <w:pPr>
        <w:pStyle w:val="Heading3"/>
      </w:pPr>
      <w:bookmarkStart w:id="49" w:name="_Toc49"/>
      <w:r>
        <w:t>Règle 2.3.5 </w:t>
      </w:r>
      <w:bookmarkEnd w:id="49"/>
    </w:p>
    <w:p>
      <w:pPr/>
      <w:r>
        <w:rPr/>
        <w:t xml:space="preserve">Une procédure de départ des utilisateurs existe et est à jour.</w:t>
      </w:r>
    </w:p>
    <w:p>
      <w:pPr>
        <w:pStyle w:val="Heading3"/>
      </w:pPr>
      <w:bookmarkStart w:id="50" w:name="_Toc50"/>
      <w:r>
        <w:t>Règle 2.3.6 </w:t>
      </w:r>
      <w:bookmarkEnd w:id="50"/>
    </w:p>
    <w:p>
      <w:pPr/>
      <w:r>
        <w:rPr/>
        <w:t xml:space="preserve">La procédure de départ précise les modalités de fermeture des comptes et des boîtes de messagerie.</w:t>
      </w:r>
    </w:p>
    <w:p>
      <w:pPr>
        <w:pStyle w:val="Heading3"/>
      </w:pPr>
      <w:bookmarkStart w:id="51" w:name="_Toc51"/>
      <w:r>
        <w:t>Règle 2.3.7 </w:t>
      </w:r>
      <w:bookmarkEnd w:id="51"/>
    </w:p>
    <w:p>
      <w:pPr/>
      <w:r>
        <w:rPr/>
        <w:t xml:space="preserve">La procédure de départ précise les modalités de restitution des équipements informatiques (ordinateur, smartphone, tablette,...).</w:t>
      </w:r>
    </w:p>
    <w:p>
      <w:pPr>
        <w:pStyle w:val="Heading3"/>
      </w:pPr>
      <w:bookmarkStart w:id="52" w:name="_Toc52"/>
      <w:r>
        <w:t>Règle 2.3.8 </w:t>
      </w:r>
      <w:bookmarkEnd w:id="52"/>
    </w:p>
    <w:p>
      <w:pPr/>
      <w:r>
        <w:rPr/>
        <w:t xml:space="preserve">La procédure de départ est régulièrement mise à jour.</w:t>
      </w:r>
    </w:p>
    <w:p>
      <w:pPr>
        <w:pStyle w:val="Heading2"/>
      </w:pPr>
      <w:bookmarkStart w:id="53" w:name="_Toc53"/>
      <w:r>
        <w:t>2.4	Autoriser la connexion au réseau de l'entité aux seuls équipements maîtrisés</w:t>
      </w:r>
      <w:bookmarkEnd w:id="53"/>
    </w:p>
    <w:p>
      <w:pPr>
        <w:pStyle w:val="Heading3"/>
      </w:pPr>
      <w:bookmarkStart w:id="54" w:name="_Toc54"/>
      <w:r>
        <w:t>Règle 2.4.1 </w:t>
      </w:r>
      <w:bookmarkEnd w:id="54"/>
    </w:p>
    <w:p>
      <w:pPr/>
      <w:r>
        <w:rPr/>
        <w:t xml:space="preserve">Une politique fixant les règles d'usage des équipements personnels existe et est à jour.</w:t>
      </w:r>
    </w:p>
    <w:p>
      <w:pPr>
        <w:pStyle w:val="Heading3"/>
      </w:pPr>
      <w:bookmarkStart w:id="55" w:name="_Toc55"/>
      <w:r>
        <w:t>Règle 2.4.2 </w:t>
      </w:r>
      <w:bookmarkEnd w:id="55"/>
    </w:p>
    <w:p>
      <w:pPr/>
      <w:r>
        <w:rPr/>
        <w:t xml:space="preserve">Une politique fixant les règles d'usage des équipements prestataires et visiteurs externes existe et est à jour.</w:t>
      </w:r>
    </w:p>
    <w:p>
      <w:pPr>
        <w:pStyle w:val="Heading3"/>
      </w:pPr>
      <w:bookmarkStart w:id="56" w:name="_Toc56"/>
      <w:r>
        <w:t>Règle 2.4.3 </w:t>
      </w:r>
      <w:bookmarkEnd w:id="56"/>
    </w:p>
    <w:p>
      <w:pPr/>
      <w:r>
        <w:rPr/>
        <w:t xml:space="preserve">Un réseau WiFi dédié aux visiteurs existe.</w:t>
      </w:r>
    </w:p>
    <w:p>
      <w:pPr>
        <w:pStyle w:val="Heading3"/>
      </w:pPr>
      <w:bookmarkStart w:id="57" w:name="_Toc57"/>
      <w:r>
        <w:t>Règle 2.4.4 </w:t>
      </w:r>
      <w:bookmarkEnd w:id="57"/>
    </w:p>
    <w:p>
      <w:pPr/>
      <w:r>
        <w:rPr/>
        <w:t xml:space="preserve">Des mesures techniques (802.1x) sont en place pour authentifier les postes de travail.</w:t>
      </w:r>
    </w:p>
    <w:p>
      <w:r>
        <w:br w:type="page"/>
      </w:r>
    </w:p>
    <w:p>
      <w:pPr>
        <w:pStyle w:val="Heading1"/>
      </w:pPr>
      <w:bookmarkStart w:id="58" w:name="_Toc58"/>
      <w:r>
        <w:t>3	Authentifier et contrôler les accès</w:t>
      </w:r>
      <w:bookmarkEnd w:id="58"/>
    </w:p>
    <w:p>
      <w:pPr>
        <w:pStyle w:val="Heading2"/>
      </w:pPr>
      <w:bookmarkStart w:id="59" w:name="_Toc59"/>
      <w:r>
        <w:t>3.1	Identifier nommément chaque personne accédant au système et distinguer les rôles utilisateur/administrateur</w:t>
      </w:r>
      <w:bookmarkEnd w:id="59"/>
    </w:p>
    <w:p>
      <w:pPr>
        <w:pStyle w:val="Heading3"/>
      </w:pPr>
      <w:bookmarkStart w:id="60" w:name="_Toc60"/>
      <w:r>
        <w:t>Règle 3.1.1 </w:t>
      </w:r>
      <w:bookmarkEnd w:id="60"/>
    </w:p>
    <w:p>
      <w:pPr/>
      <w:r>
        <w:rPr/>
        <w:t xml:space="preserve">Une politique des gestion des comptes existe et est à jour.</w:t>
      </w:r>
    </w:p>
    <w:p>
      <w:pPr>
        <w:pStyle w:val="Heading3"/>
      </w:pPr>
      <w:bookmarkStart w:id="61" w:name="_Toc61"/>
      <w:r>
        <w:t>Règle 3.1.2 </w:t>
      </w:r>
      <w:bookmarkEnd w:id="61"/>
    </w:p>
    <w:p>
      <w:pPr/>
      <w:r>
        <w:rPr/>
        <w:t xml:space="preserve">Chaque utilisateur dispose d'un compte d'accès au système d'information personnel et nominatif.</w:t>
      </w:r>
    </w:p>
    <w:p>
      <w:pPr>
        <w:pStyle w:val="Heading3"/>
      </w:pPr>
      <w:bookmarkStart w:id="62" w:name="_Toc62"/>
      <w:r>
        <w:t>Règle 3.1.3 </w:t>
      </w:r>
      <w:bookmarkEnd w:id="62"/>
    </w:p>
    <w:p>
      <w:pPr/>
      <w:r>
        <w:rPr/>
        <w:t xml:space="preserve">Chaque administrateur du système d'information dispose d'un compte d'administration nominatif différent de son compte d'utilisateur.</w:t>
      </w:r>
    </w:p>
    <w:p>
      <w:pPr>
        <w:pStyle w:val="Heading3"/>
      </w:pPr>
      <w:bookmarkStart w:id="63" w:name="_Toc63"/>
      <w:r>
        <w:t>Règle 3.1.4 </w:t>
      </w:r>
      <w:bookmarkEnd w:id="63"/>
    </w:p>
    <w:p>
      <w:pPr/>
      <w:r>
        <w:rPr/>
        <w:t xml:space="preserve">Les comptes d'administration sont exclusivement dédié aux opérations d'administration du système d'information.</w:t>
      </w:r>
    </w:p>
    <w:p>
      <w:pPr>
        <w:pStyle w:val="Heading3"/>
      </w:pPr>
      <w:bookmarkStart w:id="64" w:name="_Toc64"/>
      <w:r>
        <w:t>Règle 3.1.5 </w:t>
      </w:r>
      <w:bookmarkEnd w:id="64"/>
    </w:p>
    <w:p>
      <w:pPr/>
      <w:r>
        <w:rPr/>
        <w:t xml:space="preserve">Les comptes d'administration sont utilisée sur des environnements dédiés à l'administration.</w:t>
      </w:r>
    </w:p>
    <w:p>
      <w:pPr>
        <w:pStyle w:val="Heading3"/>
      </w:pPr>
      <w:bookmarkStart w:id="65" w:name="_Toc65"/>
      <w:r>
        <w:t>Règle 3.1.6 </w:t>
      </w:r>
      <w:bookmarkEnd w:id="65"/>
    </w:p>
    <w:p>
      <w:pPr/>
      <w:r>
        <w:rPr/>
        <w:t xml:space="preserve">Les actions d'administrations sont journalisées.</w:t>
      </w:r>
    </w:p>
    <w:p>
      <w:pPr>
        <w:pStyle w:val="Heading2"/>
      </w:pPr>
      <w:bookmarkStart w:id="66" w:name="_Toc66"/>
      <w:r>
        <w:t>3.2	Attribuer les bons droits sur les ressources sensibles du système d'information</w:t>
      </w:r>
      <w:bookmarkEnd w:id="66"/>
    </w:p>
    <w:p>
      <w:pPr>
        <w:pStyle w:val="Heading3"/>
      </w:pPr>
      <w:bookmarkStart w:id="67" w:name="_Toc67"/>
      <w:r>
        <w:t>Règle 3.2.1 </w:t>
      </w:r>
      <w:bookmarkEnd w:id="67"/>
    </w:p>
    <w:p>
      <w:pPr/>
      <w:r>
        <w:rPr/>
        <w:t xml:space="preserve">Une liste des ressources sensibles existe et est à jour.</w:t>
      </w:r>
    </w:p>
    <w:p>
      <w:pPr>
        <w:pStyle w:val="Heading3"/>
      </w:pPr>
      <w:bookmarkStart w:id="68" w:name="_Toc68"/>
      <w:r>
        <w:t>Règle 3.2.2 </w:t>
      </w:r>
      <w:bookmarkEnd w:id="68"/>
    </w:p>
    <w:p>
      <w:pPr/>
      <w:r>
        <w:rPr/>
        <w:t xml:space="preserve">Pour chaque ressource, la liste des ressources sensibles précise quelle population peut y avoir accès.</w:t>
      </w:r>
    </w:p>
    <w:p>
      <w:pPr>
        <w:pStyle w:val="Heading3"/>
      </w:pPr>
      <w:bookmarkStart w:id="69" w:name="_Toc69"/>
      <w:r>
        <w:t>Règle 3.2.3 </w:t>
      </w:r>
      <w:bookmarkEnd w:id="69"/>
    </w:p>
    <w:p>
      <w:pPr/>
      <w:r>
        <w:rPr/>
        <w:t xml:space="preserve">Les accès aux ressources sensibles sont journalisées.</w:t>
      </w:r>
    </w:p>
    <w:p>
      <w:pPr>
        <w:pStyle w:val="Heading3"/>
      </w:pPr>
      <w:bookmarkStart w:id="70" w:name="_Toc70"/>
      <w:r>
        <w:t>Règle 3.2.4 </w:t>
      </w:r>
      <w:bookmarkEnd w:id="70"/>
    </w:p>
    <w:p>
      <w:pPr/>
      <w:r>
        <w:rPr/>
        <w:t xml:space="preserve">Une revue régulière des droits d'accès aux ressources sensibles est effectuée.</w:t>
      </w:r>
    </w:p>
    <w:p>
      <w:pPr>
        <w:pStyle w:val="Heading2"/>
      </w:pPr>
      <w:bookmarkStart w:id="71" w:name="_Toc71"/>
      <w:r>
        <w:t>3.3	Définir et vérifier des règles de choix et de dimensionnement des mots de passe</w:t>
      </w:r>
      <w:bookmarkEnd w:id="71"/>
    </w:p>
    <w:p>
      <w:pPr>
        <w:pStyle w:val="Heading3"/>
      </w:pPr>
      <w:bookmarkStart w:id="72" w:name="_Toc72"/>
      <w:r>
        <w:t>Règle 3.3.1 </w:t>
      </w:r>
      <w:bookmarkEnd w:id="72"/>
    </w:p>
    <w:p>
      <w:pPr/>
      <w:r>
        <w:rPr/>
        <w:t xml:space="preserve">Une politique des mots de passe existe et est à jour.</w:t>
      </w:r>
    </w:p>
    <w:p>
      <w:pPr>
        <w:pStyle w:val="Heading3"/>
      </w:pPr>
      <w:bookmarkStart w:id="73" w:name="_Toc73"/>
      <w:r>
        <w:t>Règle 3.3.2 </w:t>
      </w:r>
      <w:bookmarkEnd w:id="73"/>
    </w:p>
    <w:p>
      <w:pPr/>
      <w:r>
        <w:rPr/>
        <w:t xml:space="preserve">La longueur minimale des mots de passe est définie.</w:t>
      </w:r>
    </w:p>
    <w:p>
      <w:pPr>
        <w:pStyle w:val="Heading3"/>
      </w:pPr>
      <w:bookmarkStart w:id="74" w:name="_Toc74"/>
      <w:r>
        <w:t>Règle 3.3.3 </w:t>
      </w:r>
      <w:bookmarkEnd w:id="74"/>
    </w:p>
    <w:p>
      <w:pPr/>
      <w:r>
        <w:rPr/>
        <w:t xml:space="preserve">Le niveau de complexité des mots de passe est défini.</w:t>
      </w:r>
    </w:p>
    <w:p>
      <w:pPr>
        <w:pStyle w:val="Heading3"/>
      </w:pPr>
      <w:bookmarkStart w:id="75" w:name="_Toc75"/>
      <w:r>
        <w:t>Règle 3.3.4 </w:t>
      </w:r>
      <w:bookmarkEnd w:id="75"/>
    </w:p>
    <w:p>
      <w:pPr/>
      <w:r>
        <w:rPr/>
        <w:t xml:space="preserve">La durée de validité des mots de passe est définie.</w:t>
      </w:r>
    </w:p>
    <w:p>
      <w:pPr>
        <w:pStyle w:val="Heading3"/>
      </w:pPr>
      <w:bookmarkStart w:id="76" w:name="_Toc76"/>
      <w:r>
        <w:t>Règle 3.3.5 </w:t>
      </w:r>
      <w:bookmarkEnd w:id="76"/>
    </w:p>
    <w:p>
      <w:pPr/>
      <w:r>
        <w:rPr/>
        <w:t xml:space="preserve">Les modalités de blocage des comptes à l'issue de plusieurs échecs de connexion sont définies.</w:t>
      </w:r>
    </w:p>
    <w:p>
      <w:pPr>
        <w:pStyle w:val="Heading3"/>
      </w:pPr>
      <w:bookmarkStart w:id="77" w:name="_Toc77"/>
      <w:r>
        <w:t>Règle 3.3.6 </w:t>
      </w:r>
      <w:bookmarkEnd w:id="77"/>
    </w:p>
    <w:p>
      <w:pPr/>
      <w:r>
        <w:rPr/>
        <w:t xml:space="preserve">Les connexions anonymes sont désactivées.</w:t>
      </w:r>
    </w:p>
    <w:p>
      <w:pPr>
        <w:pStyle w:val="Heading3"/>
      </w:pPr>
      <w:bookmarkStart w:id="78" w:name="_Toc78"/>
      <w:r>
        <w:t>Règle 3.3.7 </w:t>
      </w:r>
      <w:bookmarkEnd w:id="78"/>
    </w:p>
    <w:p>
      <w:pPr/>
      <w:r>
        <w:rPr/>
        <w:t xml:space="preserve">La robustesse des mots de passe est audité.</w:t>
      </w:r>
    </w:p>
    <w:p>
      <w:pPr>
        <w:pStyle w:val="Heading2"/>
      </w:pPr>
      <w:bookmarkStart w:id="79" w:name="_Toc79"/>
      <w:r>
        <w:t>3.4	Protéger les mots de passe stockés sur les systèmes</w:t>
      </w:r>
      <w:bookmarkEnd w:id="79"/>
    </w:p>
    <w:p>
      <w:pPr>
        <w:pStyle w:val="Heading3"/>
      </w:pPr>
      <w:bookmarkStart w:id="80" w:name="_Toc80"/>
      <w:r>
        <w:t>Règle 3.4.1 </w:t>
      </w:r>
      <w:bookmarkEnd w:id="80"/>
    </w:p>
    <w:p>
      <w:pPr/>
      <w:r>
        <w:rPr/>
        <w:t xml:space="preserve">L'entité met à disposition de ses utilisateurs un mécanisme de coffre-fort numérique pour protéger leurs mots de passe.</w:t>
      </w:r>
    </w:p>
    <w:p>
      <w:pPr>
        <w:pStyle w:val="Heading3"/>
      </w:pPr>
      <w:bookmarkStart w:id="81" w:name="_Toc81"/>
      <w:r>
        <w:t>Règle 3.4.2 </w:t>
      </w:r>
      <w:bookmarkEnd w:id="81"/>
    </w:p>
    <w:p>
      <w:pPr/>
      <w:r>
        <w:rPr/>
        <w:t xml:space="preserve">Les mots de passe des comptes génériques sont obligatoirement stockés dans un coffre-fort numérique.</w:t>
      </w:r>
    </w:p>
    <w:p>
      <w:pPr>
        <w:pStyle w:val="Heading2"/>
      </w:pPr>
      <w:bookmarkStart w:id="82" w:name="_Toc82"/>
      <w:r>
        <w:t>3.5	Changer les éléments d'authentification par défaut sur les équipements et services</w:t>
      </w:r>
      <w:bookmarkEnd w:id="82"/>
    </w:p>
    <w:p>
      <w:pPr>
        <w:pStyle w:val="Heading3"/>
      </w:pPr>
      <w:bookmarkStart w:id="83" w:name="_Toc83"/>
      <w:r>
        <w:t>Règle 3.5.1 </w:t>
      </w:r>
      <w:bookmarkEnd w:id="83"/>
    </w:p>
    <w:p>
      <w:pPr/>
      <w:r>
        <w:rPr/>
        <w:t xml:space="preserve">Les éléments d'authentification par défaut des composants du système d'information sont modifiés dès leur installation.</w:t>
      </w:r>
    </w:p>
    <w:p>
      <w:pPr>
        <w:pStyle w:val="Heading3"/>
      </w:pPr>
      <w:bookmarkStart w:id="84" w:name="_Toc84"/>
      <w:r>
        <w:t>Règle 3.5.2 </w:t>
      </w:r>
      <w:bookmarkEnd w:id="84"/>
    </w:p>
    <w:p>
      <w:pPr/>
      <w:r>
        <w:rPr/>
        <w:t xml:space="preserve">Les éléments d'authentification des composants du système d'information sont stockés dans un coffre-fort numérique.</w:t>
      </w:r>
    </w:p>
    <w:p>
      <w:pPr>
        <w:pStyle w:val="Heading3"/>
      </w:pPr>
      <w:bookmarkStart w:id="85" w:name="_Toc85"/>
      <w:r>
        <w:t>Règle 3.5.3 </w:t>
      </w:r>
      <w:bookmarkEnd w:id="85"/>
    </w:p>
    <w:p>
      <w:pPr/>
      <w:r>
        <w:rPr/>
        <w:t xml:space="preserve">Lorsque les éléments d'authentification par défaut des composants du système d'information ne peuvent pas être modifiés, ces composants font l'objet de mesures de sécurité renforcées.</w:t>
      </w:r>
    </w:p>
    <w:p>
      <w:pPr>
        <w:pStyle w:val="Heading2"/>
      </w:pPr>
      <w:bookmarkStart w:id="86" w:name="_Toc86"/>
      <w:r>
        <w:t>3.6	Privilégier lorsque c'est possible une authentification forte</w:t>
      </w:r>
      <w:bookmarkEnd w:id="86"/>
    </w:p>
    <w:p>
      <w:pPr>
        <w:pStyle w:val="Heading3"/>
      </w:pPr>
      <w:bookmarkStart w:id="87" w:name="_Toc87"/>
      <w:r>
        <w:t>Règle 3.6.1 </w:t>
      </w:r>
      <w:bookmarkEnd w:id="87"/>
    </w:p>
    <w:p>
      <w:pPr/>
      <w:r>
        <w:rPr/>
        <w:t xml:space="preserve">L'entité met en œuvre une authentification forte pour ses systèmes sensibles.</w:t>
      </w:r>
    </w:p>
    <w:p>
      <w:pPr>
        <w:pStyle w:val="Heading3"/>
      </w:pPr>
      <w:bookmarkStart w:id="88" w:name="_Toc88"/>
      <w:r>
        <w:t>Règle 3.6.2 </w:t>
      </w:r>
      <w:bookmarkEnd w:id="88"/>
    </w:p>
    <w:p>
      <w:pPr/>
      <w:r>
        <w:rPr/>
        <w:t xml:space="preserve">L'entité met en œuvre une authentification forte pour ses comptes d'administration.</w:t>
      </w:r>
    </w:p>
    <w:p>
      <w:pPr>
        <w:pStyle w:val="Heading3"/>
      </w:pPr>
      <w:bookmarkStart w:id="89" w:name="_Toc89"/>
      <w:r>
        <w:t>Règle 3.6.3 </w:t>
      </w:r>
      <w:bookmarkEnd w:id="89"/>
    </w:p>
    <w:p>
      <w:pPr/>
      <w:r>
        <w:rPr/>
        <w:t xml:space="preserve">L'entité met en œuvre une authentification forte pour l'ensemble de ses utilisateurs.</w:t>
      </w:r>
    </w:p>
    <w:p>
      <w:r>
        <w:br w:type="page"/>
      </w:r>
    </w:p>
    <w:p>
      <w:pPr>
        <w:pStyle w:val="Heading1"/>
      </w:pPr>
      <w:bookmarkStart w:id="90" w:name="_Toc90"/>
      <w:r>
        <w:t>4	Sécuriser les postes</w:t>
      </w:r>
      <w:bookmarkEnd w:id="90"/>
    </w:p>
    <w:p>
      <w:pPr>
        <w:pStyle w:val="Heading2"/>
      </w:pPr>
      <w:bookmarkStart w:id="91" w:name="_Toc91"/>
      <w:r>
        <w:t>4.1	Mettre en place un niveau de sécurité minimal sur l'ensemble du parc informatique</w:t>
      </w:r>
      <w:bookmarkEnd w:id="91"/>
    </w:p>
    <w:p>
      <w:pPr>
        <w:pStyle w:val="Heading3"/>
      </w:pPr>
      <w:bookmarkStart w:id="92" w:name="_Toc92"/>
      <w:r>
        <w:t>Règle 4.1.1 </w:t>
      </w:r>
      <w:bookmarkEnd w:id="92"/>
    </w:p>
    <w:p>
      <w:pPr/>
      <w:r>
        <w:rPr/>
        <w:t xml:space="preserve">Une politique de sécurisation des postes existe et est à jour.</w:t>
      </w:r>
    </w:p>
    <w:p>
      <w:pPr>
        <w:pStyle w:val="Heading3"/>
      </w:pPr>
      <w:bookmarkStart w:id="93" w:name="_Toc93"/>
      <w:r>
        <w:t>Règle 4.1.2 </w:t>
      </w:r>
      <w:bookmarkEnd w:id="93"/>
    </w:p>
    <w:p>
      <w:pPr/>
      <w:r>
        <w:rPr/>
        <w:t xml:space="preserve">Une liste d'applications autorisées sur les postes de travail existe et est à jour.</w:t>
      </w:r>
    </w:p>
    <w:p>
      <w:pPr>
        <w:pStyle w:val="Heading3"/>
      </w:pPr>
      <w:bookmarkStart w:id="94" w:name="_Toc94"/>
      <w:r>
        <w:t>Règle 4.1.3 </w:t>
      </w:r>
      <w:bookmarkEnd w:id="94"/>
    </w:p>
    <w:p>
      <w:pPr/>
      <w:r>
        <w:rPr/>
        <w:t xml:space="preserve">Une liste d'applications autorisées sur les smartphones et tablettes existe et est à jour.</w:t>
      </w:r>
    </w:p>
    <w:p>
      <w:pPr>
        <w:pStyle w:val="Heading3"/>
      </w:pPr>
      <w:bookmarkStart w:id="95" w:name="_Toc95"/>
      <w:r>
        <w:t>Règle 4.1.4 </w:t>
      </w:r>
      <w:bookmarkEnd w:id="95"/>
    </w:p>
    <w:p>
      <w:pPr/>
      <w:r>
        <w:rPr/>
        <w:t xml:space="preserve">Une liste des modules autorisés sur les navigateurs web existe et est à jour.</w:t>
      </w:r>
    </w:p>
    <w:p>
      <w:pPr>
        <w:pStyle w:val="Heading3"/>
      </w:pPr>
      <w:bookmarkStart w:id="96" w:name="_Toc96"/>
      <w:r>
        <w:t>Règle 4.1.5 </w:t>
      </w:r>
      <w:bookmarkEnd w:id="96"/>
    </w:p>
    <w:p>
      <w:pPr/>
      <w:r>
        <w:rPr/>
        <w:t xml:space="preserve">Les postes utilisateurs sont dotés d'un pare-feu local.</w:t>
      </w:r>
    </w:p>
    <w:p>
      <w:pPr>
        <w:pStyle w:val="Heading3"/>
      </w:pPr>
      <w:bookmarkStart w:id="97" w:name="_Toc97"/>
      <w:r>
        <w:t>Règle 4.1.6 </w:t>
      </w:r>
      <w:bookmarkEnd w:id="97"/>
    </w:p>
    <w:p>
      <w:pPr/>
      <w:r>
        <w:rPr/>
        <w:t xml:space="preserve">Les postes des utilisateurs sont dotés d'un antivirus à jour.</w:t>
      </w:r>
    </w:p>
    <w:p>
      <w:pPr>
        <w:pStyle w:val="Heading3"/>
      </w:pPr>
      <w:bookmarkStart w:id="98" w:name="_Toc98"/>
      <w:r>
        <w:t>Règle 4.1.7 </w:t>
      </w:r>
      <w:bookmarkEnd w:id="98"/>
    </w:p>
    <w:p>
      <w:pPr/>
      <w:r>
        <w:rPr/>
        <w:t xml:space="preserve">Les disques durs des postes des utilisateurs sont chiffrés.</w:t>
      </w:r>
    </w:p>
    <w:p>
      <w:pPr>
        <w:pStyle w:val="Heading3"/>
      </w:pPr>
      <w:bookmarkStart w:id="99" w:name="_Toc99"/>
      <w:r>
        <w:t>Règle 4.1.8 </w:t>
      </w:r>
      <w:bookmarkEnd w:id="99"/>
    </w:p>
    <w:p>
      <w:pPr/>
      <w:r>
        <w:rPr/>
        <w:t xml:space="preserve">Les espaces de stockages des smartphones et tablettes sont chifrés.</w:t>
      </w:r>
    </w:p>
    <w:p>
      <w:pPr>
        <w:pStyle w:val="Heading3"/>
      </w:pPr>
      <w:bookmarkStart w:id="100" w:name="_Toc100"/>
      <w:r>
        <w:t>Règle 4.1.9 </w:t>
      </w:r>
      <w:bookmarkEnd w:id="100"/>
    </w:p>
    <w:p>
      <w:pPr/>
      <w:r>
        <w:rPr/>
        <w:t xml:space="preserve">Les fonctions d'exécution automatique (autorun) sont désactivées.</w:t>
      </w:r>
    </w:p>
    <w:p>
      <w:pPr>
        <w:pStyle w:val="Heading2"/>
      </w:pPr>
      <w:bookmarkStart w:id="101" w:name="_Toc101"/>
      <w:r>
        <w:t>4.2	Se protéger des menaces relatives à l'utilisation de supports amovibles</w:t>
      </w:r>
      <w:bookmarkEnd w:id="101"/>
    </w:p>
    <w:p>
      <w:pPr>
        <w:pStyle w:val="Heading3"/>
      </w:pPr>
      <w:bookmarkStart w:id="102" w:name="_Toc102"/>
      <w:r>
        <w:t>Règle 4.2.1 </w:t>
      </w:r>
      <w:bookmarkEnd w:id="102"/>
    </w:p>
    <w:p>
      <w:pPr/>
      <w:r>
        <w:rPr/>
        <w:t xml:space="preserve">Le branchement de périphériques amovibles inconnus est interdit.</w:t>
      </w:r>
    </w:p>
    <w:p>
      <w:pPr>
        <w:pStyle w:val="Heading3"/>
      </w:pPr>
      <w:bookmarkStart w:id="103" w:name="_Toc103"/>
      <w:r>
        <w:t>Règle 4.2.2 </w:t>
      </w:r>
      <w:bookmarkEnd w:id="103"/>
    </w:p>
    <w:p>
      <w:pPr/>
      <w:r>
        <w:rPr/>
        <w:t xml:space="preserve">Une solution permettant d'interdire l'exécution de programme sur les périphériques amovibles est mises en oeuvre.</w:t>
      </w:r>
    </w:p>
    <w:p>
      <w:pPr>
        <w:pStyle w:val="Heading3"/>
      </w:pPr>
      <w:bookmarkStart w:id="104" w:name="_Toc104"/>
      <w:r>
        <w:t>Règle 4.2.3 </w:t>
      </w:r>
      <w:bookmarkEnd w:id="104"/>
    </w:p>
    <w:p>
      <w:pPr/>
      <w:r>
        <w:rPr/>
        <w:t xml:space="preserve">Le rechargement électrique des smartphones et tabllettes est interdit sur les postes utilisateurs.</w:t>
      </w:r>
    </w:p>
    <w:p>
      <w:pPr>
        <w:pStyle w:val="Heading3"/>
      </w:pPr>
      <w:bookmarkStart w:id="105" w:name="_Toc105"/>
      <w:r>
        <w:t>Règle 4.2.4 </w:t>
      </w:r>
      <w:bookmarkEnd w:id="105"/>
    </w:p>
    <w:p>
      <w:pPr/>
      <w:r>
        <w:rPr/>
        <w:t xml:space="preserve">Les supports amovibles ayant contenus des informations sensibles sont détruit en fin de vie.</w:t>
      </w:r>
    </w:p>
    <w:p>
      <w:pPr>
        <w:pStyle w:val="Heading2"/>
      </w:pPr>
      <w:bookmarkStart w:id="106" w:name="_Toc106"/>
      <w:r>
        <w:t>4.3	Utiliser un outil de gestion centralisée afin d'homogénéiser les politiques de sécurité</w:t>
      </w:r>
      <w:bookmarkEnd w:id="106"/>
    </w:p>
    <w:p>
      <w:pPr>
        <w:pStyle w:val="Heading3"/>
      </w:pPr>
      <w:bookmarkStart w:id="107" w:name="_Toc107"/>
      <w:r>
        <w:t>Règle 4.3.1 </w:t>
      </w:r>
      <w:bookmarkEnd w:id="107"/>
    </w:p>
    <w:p>
      <w:pPr/>
      <w:r>
        <w:rPr/>
        <w:t xml:space="preserve">L'entité met en œuvre un outil de gestion centralisée de type Active Directory.</w:t>
      </w:r>
    </w:p>
    <w:p>
      <w:pPr>
        <w:pStyle w:val="Heading3"/>
      </w:pPr>
      <w:bookmarkStart w:id="108" w:name="_Toc108"/>
      <w:r>
        <w:t>Règle 4.3.2 </w:t>
      </w:r>
      <w:bookmarkEnd w:id="108"/>
    </w:p>
    <w:p>
      <w:pPr/>
      <w:r>
        <w:rPr/>
        <w:t xml:space="preserve">L'ensemble des postes de travail est intégré dans l'outil de gestion centralisé.</w:t>
      </w:r>
    </w:p>
    <w:p>
      <w:pPr>
        <w:pStyle w:val="Heading3"/>
      </w:pPr>
      <w:bookmarkStart w:id="109" w:name="_Toc109"/>
      <w:r>
        <w:t>Règle 4.3.3 </w:t>
      </w:r>
      <w:bookmarkEnd w:id="109"/>
    </w:p>
    <w:p>
      <w:pPr/>
      <w:r>
        <w:rPr/>
        <w:t xml:space="preserve">L'ensemble des serveur est intégré dans l'outil de gestion centralisé.</w:t>
      </w:r>
    </w:p>
    <w:p>
      <w:pPr>
        <w:pStyle w:val="Heading3"/>
      </w:pPr>
      <w:bookmarkStart w:id="110" w:name="_Toc110"/>
      <w:r>
        <w:t>Règle 4.3.4 </w:t>
      </w:r>
      <w:bookmarkEnd w:id="110"/>
    </w:p>
    <w:p>
      <w:pPr/>
      <w:r>
        <w:rPr/>
        <w:t xml:space="preserve">Une politique de durcissement des postes de travail est définie et appliquée via l'outils de gestion centralisé.</w:t>
      </w:r>
    </w:p>
    <w:p>
      <w:pPr>
        <w:pStyle w:val="Heading3"/>
      </w:pPr>
      <w:bookmarkStart w:id="111" w:name="_Toc111"/>
      <w:r>
        <w:t>Règle 4.3.5 </w:t>
      </w:r>
      <w:bookmarkEnd w:id="111"/>
    </w:p>
    <w:p>
      <w:pPr/>
      <w:r>
        <w:rPr/>
        <w:t xml:space="preserve">Une politique de durcissement des serveurs est définie et appliquée via l'outils de gestion centralisé.</w:t>
      </w:r>
    </w:p>
    <w:p>
      <w:pPr>
        <w:pStyle w:val="Heading2"/>
      </w:pPr>
      <w:bookmarkStart w:id="112" w:name="_Toc112"/>
      <w:r>
        <w:t>4.4	Activer et configurer le parefeu local des postes de travail</w:t>
      </w:r>
      <w:bookmarkEnd w:id="112"/>
    </w:p>
    <w:p>
      <w:pPr>
        <w:pStyle w:val="Heading3"/>
      </w:pPr>
      <w:bookmarkStart w:id="113" w:name="_Toc113"/>
      <w:r>
        <w:t>Règle 4.4.1 </w:t>
      </w:r>
      <w:bookmarkEnd w:id="113"/>
    </w:p>
    <w:p>
      <w:pPr/>
      <w:r>
        <w:rPr/>
        <w:t xml:space="preserve">Un pare-feu est activé sur les postes de travail.</w:t>
      </w:r>
    </w:p>
    <w:p>
      <w:pPr>
        <w:pStyle w:val="Heading3"/>
      </w:pPr>
      <w:bookmarkStart w:id="114" w:name="_Toc114"/>
      <w:r>
        <w:t>Règle 4.4.2 </w:t>
      </w:r>
      <w:bookmarkEnd w:id="114"/>
    </w:p>
    <w:p>
      <w:pPr/>
      <w:r>
        <w:rPr/>
        <w:t xml:space="preserve">La liste des flux réseaux autorisés existe et est à jour.</w:t>
      </w:r>
    </w:p>
    <w:p>
      <w:pPr>
        <w:pStyle w:val="Heading3"/>
      </w:pPr>
      <w:bookmarkStart w:id="115" w:name="_Toc115"/>
      <w:r>
        <w:t>Règle 4.4.3 </w:t>
      </w:r>
      <w:bookmarkEnd w:id="115"/>
    </w:p>
    <w:p>
      <w:pPr/>
      <w:r>
        <w:rPr/>
        <w:t xml:space="preserve">Seuls les ports correspondants aux flux autorisés sont ouverst sur les postes de travail.</w:t>
      </w:r>
    </w:p>
    <w:p>
      <w:pPr>
        <w:pStyle w:val="Heading3"/>
      </w:pPr>
      <w:bookmarkStart w:id="116" w:name="_Toc116"/>
      <w:r>
        <w:t>Règle 4.4.4 </w:t>
      </w:r>
      <w:bookmarkEnd w:id="116"/>
    </w:p>
    <w:p>
      <w:pPr/>
      <w:r>
        <w:rPr/>
        <w:t xml:space="preserve">Les tentatives de connexion sur les ports bloqués par les pare-feu des postes de travail sont journalisées.</w:t>
      </w:r>
    </w:p>
    <w:p>
      <w:pPr>
        <w:pStyle w:val="Heading2"/>
      </w:pPr>
      <w:bookmarkStart w:id="117" w:name="_Toc117"/>
      <w:r>
        <w:t>4.5	Chiffrer les données sensibles transmises par voie Internet</w:t>
      </w:r>
      <w:bookmarkEnd w:id="117"/>
    </w:p>
    <w:p>
      <w:pPr>
        <w:pStyle w:val="Heading3"/>
      </w:pPr>
      <w:bookmarkStart w:id="118" w:name="_Toc118"/>
      <w:r>
        <w:t>Règle 4.5.1 </w:t>
      </w:r>
      <w:bookmarkEnd w:id="118"/>
    </w:p>
    <w:p>
      <w:pPr/>
      <w:r>
        <w:rPr/>
        <w:t xml:space="preserve">Les emails transitant via Internet sont transmis en utilisant des protocoles assurant le chiffrement (IMPAS, POPS, SMTPS).</w:t>
      </w:r>
    </w:p>
    <w:p>
      <w:pPr>
        <w:pStyle w:val="Heading3"/>
      </w:pPr>
      <w:bookmarkStart w:id="119" w:name="_Toc119"/>
      <w:r>
        <w:t>Règle 4.5.2 </w:t>
      </w:r>
      <w:bookmarkEnd w:id="119"/>
    </w:p>
    <w:p>
      <w:pPr/>
      <w:r>
        <w:rPr/>
        <w:t xml:space="preserve">Les données transitant via Internet sont transmises en utilisant des protocoles assurant le chiffrement (HTTPS).</w:t>
      </w:r>
    </w:p>
    <w:p>
      <w:pPr>
        <w:pStyle w:val="Heading3"/>
      </w:pPr>
      <w:bookmarkStart w:id="120" w:name="_Toc120"/>
      <w:r>
        <w:t>Règle 4.5.3 </w:t>
      </w:r>
      <w:bookmarkEnd w:id="120"/>
    </w:p>
    <w:p>
      <w:pPr/>
      <w:r>
        <w:rPr/>
        <w:t xml:space="preserve">Les données sensibles sont chiffrées avant transmission via Internet.</w:t>
      </w:r>
    </w:p>
    <w:p>
      <w:r>
        <w:br w:type="page"/>
      </w:r>
    </w:p>
    <w:p>
      <w:pPr>
        <w:pStyle w:val="Heading1"/>
      </w:pPr>
      <w:bookmarkStart w:id="121" w:name="_Toc121"/>
      <w:r>
        <w:t>5	Sécuriser le réseau</w:t>
      </w:r>
      <w:bookmarkEnd w:id="121"/>
    </w:p>
    <w:p>
      <w:pPr>
        <w:pStyle w:val="Heading2"/>
      </w:pPr>
      <w:bookmarkStart w:id="122" w:name="_Toc122"/>
      <w:r>
        <w:t>5.1	Segmenter le réseau et mettre en place un cloisonnement entre ces zones</w:t>
      </w:r>
      <w:bookmarkEnd w:id="122"/>
    </w:p>
    <w:p>
      <w:pPr>
        <w:pStyle w:val="Heading3"/>
      </w:pPr>
      <w:bookmarkStart w:id="123" w:name="_Toc123"/>
      <w:r>
        <w:t>Règle 5.1.1 </w:t>
      </w:r>
      <w:bookmarkEnd w:id="123"/>
    </w:p>
    <w:p>
      <w:pPr/>
      <w:r>
        <w:rPr/>
        <w:t xml:space="preserve">Le réseau de l'entité est segmenté en plusieurs zones matérialisées par des VLAN spécifiques.</w:t>
      </w:r>
    </w:p>
    <w:p>
      <w:pPr>
        <w:pStyle w:val="Heading3"/>
      </w:pPr>
      <w:bookmarkStart w:id="124" w:name="_Toc124"/>
      <w:r>
        <w:t>Règle 5.1.2 </w:t>
      </w:r>
      <w:bookmarkEnd w:id="124"/>
    </w:p>
    <w:p>
      <w:pPr/>
      <w:r>
        <w:rPr/>
        <w:t xml:space="preserve">Un pare-feu assure le filtrage des flux entre les différentes zones du réseau.</w:t>
      </w:r>
    </w:p>
    <w:p>
      <w:pPr>
        <w:pStyle w:val="Heading3"/>
      </w:pPr>
      <w:bookmarkStart w:id="125" w:name="_Toc125"/>
      <w:r>
        <w:t>Règle 5.1.3 </w:t>
      </w:r>
      <w:bookmarkEnd w:id="125"/>
    </w:p>
    <w:p>
      <w:pPr/>
      <w:r>
        <w:rPr/>
        <w:t xml:space="preserve">Un segment du réseau est spécifiquement dédié aux tâches d'administration.</w:t>
      </w:r>
    </w:p>
    <w:p>
      <w:pPr>
        <w:pStyle w:val="Heading2"/>
      </w:pPr>
      <w:bookmarkStart w:id="126" w:name="_Toc126"/>
      <w:r>
        <w:t>5.2	S'assurer de la sécurité des réseaux d'accès Wi-Fi et de la séparation des usages</w:t>
      </w:r>
      <w:bookmarkEnd w:id="126"/>
    </w:p>
    <w:p>
      <w:pPr>
        <w:pStyle w:val="Heading3"/>
      </w:pPr>
      <w:bookmarkStart w:id="127" w:name="_Toc127"/>
      <w:r>
        <w:t>Règle 5.2.1 </w:t>
      </w:r>
      <w:bookmarkEnd w:id="127"/>
    </w:p>
    <w:p>
      <w:pPr/>
      <w:r>
        <w:rPr/>
        <w:t xml:space="preserve">Le réseau Wi-Fi met en œuvre un chiffrement des flux robuste (mode WPA2 avec AES CCMP).</w:t>
      </w:r>
    </w:p>
    <w:p>
      <w:pPr>
        <w:pStyle w:val="Heading3"/>
      </w:pPr>
      <w:bookmarkStart w:id="128" w:name="_Toc128"/>
      <w:r>
        <w:t>Règle 5.2.2 </w:t>
      </w:r>
      <w:bookmarkEnd w:id="128"/>
    </w:p>
    <w:p>
      <w:pPr/>
      <w:r>
        <w:rPr/>
        <w:t xml:space="preserve">Le mot de passe par défaut des points d'accès Wi-Fi est changé lors de l'installation.</w:t>
      </w:r>
    </w:p>
    <w:p>
      <w:pPr>
        <w:pStyle w:val="Heading3"/>
      </w:pPr>
      <w:bookmarkStart w:id="129" w:name="_Toc129"/>
      <w:r>
        <w:t>Règle 5.2.3 </w:t>
      </w:r>
      <w:bookmarkEnd w:id="129"/>
    </w:p>
    <w:p>
      <w:pPr/>
      <w:r>
        <w:rPr/>
        <w:t xml:space="preserve">L'authentification des équipements au réseau Wi-Fi se fait par certificat délivré par une infrastructure de gestion des clefs centralisée.</w:t>
      </w:r>
    </w:p>
    <w:p>
      <w:pPr>
        <w:pStyle w:val="Heading3"/>
      </w:pPr>
      <w:bookmarkStart w:id="130" w:name="_Toc130"/>
      <w:r>
        <w:t>Règle 5.2.4 </w:t>
      </w:r>
      <w:bookmarkEnd w:id="130"/>
    </w:p>
    <w:p>
      <w:pPr/>
      <w:r>
        <w:rPr/>
        <w:t xml:space="preserve">Si l'authentification des équipements au réseau Wi-Fi se fait par mot de passe, celui-ci est robuste et changé régulièrement.</w:t>
      </w:r>
    </w:p>
    <w:p>
      <w:pPr>
        <w:pStyle w:val="Heading3"/>
      </w:pPr>
      <w:bookmarkStart w:id="131" w:name="_Toc131"/>
      <w:r>
        <w:t>Règle 5.2.5 </w:t>
      </w:r>
      <w:bookmarkEnd w:id="131"/>
    </w:p>
    <w:p>
      <w:pPr/>
      <w:r>
        <w:rPr/>
        <w:t xml:space="preserve">Le réseau Wi-Fi est placé dans un VLAN distinct.</w:t>
      </w:r>
    </w:p>
    <w:p>
      <w:pPr>
        <w:pStyle w:val="Heading3"/>
      </w:pPr>
      <w:bookmarkStart w:id="132" w:name="_Toc132"/>
      <w:r>
        <w:t>Règle 5.2.6 </w:t>
      </w:r>
      <w:bookmarkEnd w:id="132"/>
    </w:p>
    <w:p>
      <w:pPr/>
      <w:r>
        <w:rPr/>
        <w:t xml:space="preserve">Le réseau Wi-Fi dédié aux terminaux personnels ou visiteurs est séparé du réseau Wi-Fi des terminaux de l'entité (SSID et VLAN différents).</w:t>
      </w:r>
    </w:p>
    <w:p>
      <w:pPr>
        <w:pStyle w:val="Heading2"/>
      </w:pPr>
      <w:bookmarkStart w:id="133" w:name="_Toc133"/>
      <w:r>
        <w:t>5.3	Utiliser des protocoles réseaux sécurisés dès qu'ils existent</w:t>
      </w:r>
      <w:bookmarkEnd w:id="133"/>
    </w:p>
    <w:p>
      <w:pPr>
        <w:pStyle w:val="Heading3"/>
      </w:pPr>
      <w:bookmarkStart w:id="134" w:name="_Toc134"/>
      <w:r>
        <w:t>Règle 5.3.1 </w:t>
      </w:r>
      <w:bookmarkEnd w:id="134"/>
    </w:p>
    <w:p>
      <w:pPr/>
      <w:r>
        <w:rPr/>
        <w:t xml:space="preserve">Sur les serveurs Web de l'entité, le protocole HTTP est désactivé au profit de HTTPS.</w:t>
      </w:r>
    </w:p>
    <w:p>
      <w:pPr>
        <w:pStyle w:val="Heading3"/>
      </w:pPr>
      <w:bookmarkStart w:id="135" w:name="_Toc135"/>
      <w:r>
        <w:t>Règle 5.3.2 </w:t>
      </w:r>
      <w:bookmarkEnd w:id="135"/>
    </w:p>
    <w:p>
      <w:pPr/>
      <w:r>
        <w:rPr/>
        <w:t xml:space="preserve">Sur les serveurs de messagerie de l'entité, les protocoles IMAP, POP3 et SMTP sont désactivés au profit de IMAPS, POP3S et SMTPS.</w:t>
      </w:r>
    </w:p>
    <w:p>
      <w:pPr>
        <w:pStyle w:val="Heading3"/>
      </w:pPr>
      <w:bookmarkStart w:id="136" w:name="_Toc136"/>
      <w:r>
        <w:t>Règle 5.3.3 </w:t>
      </w:r>
      <w:bookmarkEnd w:id="136"/>
    </w:p>
    <w:p>
      <w:pPr/>
      <w:r>
        <w:rPr/>
        <w:t xml:space="preserve">Sur les serveurs de transfert de fichiers de l'entité, le protocole FTP est désactivé au profit de FTPS ou SFTP.</w:t>
      </w:r>
    </w:p>
    <w:p>
      <w:pPr>
        <w:pStyle w:val="Heading3"/>
      </w:pPr>
      <w:bookmarkStart w:id="137" w:name="_Toc137"/>
      <w:r>
        <w:t>Règle 5.3.4 </w:t>
      </w:r>
      <w:bookmarkEnd w:id="137"/>
    </w:p>
    <w:p>
      <w:pPr/>
      <w:r>
        <w:rPr/>
        <w:t xml:space="preserve">Les protocoles TELNET et RLOGIN sont désactivés au profit de SSH.</w:t>
      </w:r>
    </w:p>
    <w:p>
      <w:pPr>
        <w:pStyle w:val="Heading3"/>
      </w:pPr>
      <w:bookmarkStart w:id="138" w:name="_Toc138"/>
      <w:r>
        <w:t>Règle 5.3.5 </w:t>
      </w:r>
      <w:bookmarkEnd w:id="138"/>
    </w:p>
    <w:p>
      <w:pPr/>
      <w:r>
        <w:rPr/>
        <w:t xml:space="preserve">L'implémentation de TLS sur les serveurs de l'entité n'autorise que les versions 1.2 et 1.3 du protocole.</w:t>
      </w:r>
    </w:p>
    <w:p>
      <w:pPr>
        <w:pStyle w:val="Heading2"/>
      </w:pPr>
      <w:bookmarkStart w:id="139" w:name="_Toc139"/>
      <w:r>
        <w:t>5.4	Mettre en place une passerelle d'accès sécurisé à Internet</w:t>
      </w:r>
      <w:bookmarkEnd w:id="139"/>
    </w:p>
    <w:p>
      <w:pPr>
        <w:pStyle w:val="Heading3"/>
      </w:pPr>
      <w:bookmarkStart w:id="140" w:name="_Toc140"/>
      <w:r>
        <w:t>Règle 5.4.1 </w:t>
      </w:r>
      <w:bookmarkEnd w:id="140"/>
    </w:p>
    <w:p>
      <w:pPr/>
      <w:r>
        <w:rPr/>
        <w:t xml:space="preserve">L'accès à Internet se fait au travers d'un proxy authentifiant (type Alcasar - www.alcasar.net)</w:t>
      </w:r>
    </w:p>
    <w:p>
      <w:pPr>
        <w:pStyle w:val="Heading3"/>
      </w:pPr>
      <w:bookmarkStart w:id="141" w:name="_Toc141"/>
      <w:r>
        <w:t>Règle 5.4.2 </w:t>
      </w:r>
      <w:bookmarkEnd w:id="141"/>
    </w:p>
    <w:p>
      <w:pPr/>
      <w:r>
        <w:rPr/>
        <w:t xml:space="preserve">Le proxy d'accès à Internet comporte une fonctionnalité de filtrages des flux réseaux (pare-feu).</w:t>
      </w:r>
    </w:p>
    <w:p>
      <w:pPr>
        <w:pStyle w:val="Heading3"/>
      </w:pPr>
      <w:bookmarkStart w:id="142" w:name="_Toc142"/>
      <w:r>
        <w:t>Règle 5.4.3 </w:t>
      </w:r>
      <w:bookmarkEnd w:id="142"/>
    </w:p>
    <w:p>
      <w:pPr/>
      <w:r>
        <w:rPr/>
        <w:t xml:space="preserve">Le proxy d'accès à Internet comporte une fonctionnalité d'analyse antivirale.</w:t>
      </w:r>
    </w:p>
    <w:p>
      <w:pPr>
        <w:pStyle w:val="Heading3"/>
      </w:pPr>
      <w:bookmarkStart w:id="143" w:name="_Toc143"/>
      <w:r>
        <w:t>Règle 5.4.4 </w:t>
      </w:r>
      <w:bookmarkEnd w:id="143"/>
    </w:p>
    <w:p>
      <w:pPr/>
      <w:r>
        <w:rPr/>
        <w:t xml:space="preserve">Le proxy d'accès à Internet comporte une fonctionnalité de filtrages des URLs.</w:t>
      </w:r>
    </w:p>
    <w:p>
      <w:pPr>
        <w:pStyle w:val="Heading3"/>
      </w:pPr>
      <w:bookmarkStart w:id="144" w:name="_Toc144"/>
      <w:r>
        <w:t>Règle 5.4.5 </w:t>
      </w:r>
      <w:bookmarkEnd w:id="144"/>
    </w:p>
    <w:p>
      <w:pPr/>
      <w:r>
        <w:rPr/>
        <w:t xml:space="preserve">Le proxy d'accès à Internet conserve les journaux d'activité des usagers conformément à la loi française.</w:t>
      </w:r>
    </w:p>
    <w:p>
      <w:pPr>
        <w:pStyle w:val="Heading3"/>
      </w:pPr>
      <w:bookmarkStart w:id="145" w:name="_Toc145"/>
      <w:r>
        <w:t>Règle 5.4.6 </w:t>
      </w:r>
      <w:bookmarkEnd w:id="145"/>
    </w:p>
    <w:p>
      <w:pPr/>
      <w:r>
        <w:rPr/>
        <w:t xml:space="preserve">Un équipement de détection d'intrusion est déployé au point d'interconnexion entre le réseau de l'entité et internet.</w:t>
      </w:r>
    </w:p>
    <w:p>
      <w:pPr>
        <w:pStyle w:val="Heading2"/>
      </w:pPr>
      <w:bookmarkStart w:id="146" w:name="_Toc146"/>
      <w:r>
        <w:t>5.5	Cloisonner les services visibles depuis Internet du reste du système d'information</w:t>
      </w:r>
      <w:bookmarkEnd w:id="146"/>
    </w:p>
    <w:p>
      <w:pPr>
        <w:pStyle w:val="Heading3"/>
      </w:pPr>
      <w:bookmarkStart w:id="147" w:name="_Toc147"/>
      <w:r>
        <w:t>Règle 5.5.1 </w:t>
      </w:r>
      <w:bookmarkEnd w:id="147"/>
    </w:p>
    <w:p>
      <w:pPr/>
      <w:r>
        <w:rPr/>
        <w:t xml:space="preserve">Dans le cas d'un hébergement interne de services accessibles sur internet, ces services sont isolés des autres systèmes d'information de l'entité.</w:t>
      </w:r>
    </w:p>
    <w:p>
      <w:pPr>
        <w:pStyle w:val="Heading3"/>
      </w:pPr>
      <w:bookmarkStart w:id="148" w:name="_Toc148"/>
      <w:r>
        <w:t>Règle 5.5.2 </w:t>
      </w:r>
      <w:bookmarkEnd w:id="148"/>
    </w:p>
    <w:p>
      <w:pPr/>
      <w:r>
        <w:rPr/>
        <w:t xml:space="preserve">Dans le cas d'un hébergement interne de services accessibles sur internet, les flux liés à ces services sont filtrés (pare-feu).</w:t>
      </w:r>
    </w:p>
    <w:p>
      <w:pPr>
        <w:pStyle w:val="Heading3"/>
      </w:pPr>
      <w:bookmarkStart w:id="149" w:name="_Toc149"/>
      <w:r>
        <w:t>Règle 5.5.3 </w:t>
      </w:r>
      <w:bookmarkEnd w:id="149"/>
    </w:p>
    <w:p>
      <w:pPr/>
      <w:r>
        <w:rPr/>
        <w:t xml:space="preserve">Dans le cas d'un hébergement interne de services accessibles sur internet, les flux entrants passent par un serveur mandataire (proxy).</w:t>
      </w:r>
    </w:p>
    <w:p>
      <w:pPr>
        <w:pStyle w:val="Heading3"/>
      </w:pPr>
      <w:bookmarkStart w:id="150" w:name="_Toc150"/>
      <w:r>
        <w:t>Règle 5.5.4 </w:t>
      </w:r>
      <w:bookmarkEnd w:id="150"/>
    </w:p>
    <w:p>
      <w:pPr/>
      <w:r>
        <w:rPr/>
        <w:t xml:space="preserve">Dans le cas d'un hébergement externe, l'entité s'assure que son prestataire est conforme à ses exigences de sécurité (plan d'assurance sécurité).</w:t>
      </w:r>
    </w:p>
    <w:p>
      <w:pPr>
        <w:pStyle w:val="Heading2"/>
      </w:pPr>
      <w:bookmarkStart w:id="151" w:name="_Toc151"/>
      <w:r>
        <w:t>5.6	Protéger sa messagerie professionnelle</w:t>
      </w:r>
      <w:bookmarkEnd w:id="151"/>
    </w:p>
    <w:p>
      <w:pPr>
        <w:pStyle w:val="Heading3"/>
      </w:pPr>
      <w:bookmarkStart w:id="152" w:name="_Toc152"/>
      <w:r>
        <w:t>Règle 5.6.1 </w:t>
      </w:r>
      <w:bookmarkEnd w:id="152"/>
    </w:p>
    <w:p>
      <w:pPr/>
      <w:r>
        <w:rPr/>
        <w:t xml:space="preserve">La redirection de messages professionnels vers une messagerie personnelle est interdite.</w:t>
      </w:r>
    </w:p>
    <w:p>
      <w:pPr>
        <w:pStyle w:val="Heading3"/>
      </w:pPr>
      <w:bookmarkStart w:id="153" w:name="_Toc153"/>
      <w:r>
        <w:t>Règle 5.6.2 </w:t>
      </w:r>
      <w:bookmarkEnd w:id="153"/>
    </w:p>
    <w:p>
      <w:pPr/>
      <w:r>
        <w:rPr/>
        <w:t xml:space="preserve">Afin de se prémunir des escroqueries aux faux ordres de virement, des mesures organisationnelles sont décrites et appliquées.</w:t>
      </w:r>
    </w:p>
    <w:p>
      <w:pPr>
        <w:pStyle w:val="Heading3"/>
      </w:pPr>
      <w:bookmarkStart w:id="154" w:name="_Toc154"/>
      <w:r>
        <w:t>Règle 5.6.3 </w:t>
      </w:r>
      <w:bookmarkEnd w:id="154"/>
    </w:p>
    <w:p>
      <w:pPr/>
      <w:r>
        <w:rPr/>
        <w:t xml:space="preserve">L'entité dispose d'un système d'analyse antivirus des boîtes de messagerie des utilisateurs.</w:t>
      </w:r>
    </w:p>
    <w:p>
      <w:pPr>
        <w:pStyle w:val="Heading3"/>
      </w:pPr>
      <w:bookmarkStart w:id="155" w:name="_Toc155"/>
      <w:r>
        <w:t>Règle 5.6.4 </w:t>
      </w:r>
      <w:bookmarkEnd w:id="155"/>
    </w:p>
    <w:p>
      <w:pPr/>
      <w:r>
        <w:rPr/>
        <w:t xml:space="preserve">L'entité dispose d'un service anti-spam.</w:t>
      </w:r>
    </w:p>
    <w:p>
      <w:pPr>
        <w:pStyle w:val="Heading2"/>
      </w:pPr>
      <w:bookmarkStart w:id="156" w:name="_Toc156"/>
      <w:r>
        <w:t>5.7	Sécuriser les interconnexions réseau dédiées avec les partenaires</w:t>
      </w:r>
      <w:bookmarkEnd w:id="156"/>
    </w:p>
    <w:p>
      <w:pPr>
        <w:pStyle w:val="Heading3"/>
      </w:pPr>
      <w:bookmarkStart w:id="157" w:name="_Toc157"/>
      <w:r>
        <w:t>Règle 5.7.1 </w:t>
      </w:r>
      <w:bookmarkEnd w:id="157"/>
    </w:p>
    <w:p>
      <w:pPr/>
      <w:r>
        <w:rPr/>
        <w:t xml:space="preserve">Les interconnexions réseaux avec une entité externe se font au travers d'un réseau privé virtuel de site à site (VPN).</w:t>
      </w:r>
    </w:p>
    <w:p>
      <w:pPr>
        <w:pStyle w:val="Heading3"/>
      </w:pPr>
      <w:bookmarkStart w:id="158" w:name="_Toc158"/>
      <w:r>
        <w:t>Règle 5.7.2 </w:t>
      </w:r>
      <w:bookmarkEnd w:id="158"/>
    </w:p>
    <w:p>
      <w:pPr/>
      <w:r>
        <w:rPr/>
        <w:t xml:space="preserve">Les réseaux privés virtuels (VPN) mis en œuvre utilisent le standard IPSEC.</w:t>
      </w:r>
    </w:p>
    <w:p>
      <w:pPr>
        <w:pStyle w:val="Heading3"/>
      </w:pPr>
      <w:bookmarkStart w:id="159" w:name="_Toc159"/>
      <w:r>
        <w:t>Règle 5.7.3 </w:t>
      </w:r>
      <w:bookmarkEnd w:id="159"/>
    </w:p>
    <w:p>
      <w:pPr/>
      <w:r>
        <w:rPr/>
        <w:t xml:space="preserve">Un filtrage IP à l'aide d'un pare-feu est mis place au plus près de l'entrée des flux VPN sur le réseau de l'entité.</w:t>
      </w:r>
    </w:p>
    <w:p>
      <w:pPr>
        <w:pStyle w:val="Heading3"/>
      </w:pPr>
      <w:bookmarkStart w:id="160" w:name="_Toc160"/>
      <w:r>
        <w:t>Règle 5.7.4 </w:t>
      </w:r>
      <w:bookmarkEnd w:id="160"/>
    </w:p>
    <w:p>
      <w:pPr/>
      <w:r>
        <w:rPr/>
        <w:t xml:space="preserve">La matrice des flux (entrants et sortants) circulant au travers du VPN existe et est à jour.</w:t>
      </w:r>
    </w:p>
    <w:p>
      <w:pPr>
        <w:pStyle w:val="Heading3"/>
      </w:pPr>
      <w:bookmarkStart w:id="161" w:name="_Toc161"/>
      <w:r>
        <w:t>Règle 5.7.5 </w:t>
      </w:r>
      <w:bookmarkEnd w:id="161"/>
    </w:p>
    <w:p>
      <w:pPr/>
      <w:r>
        <w:rPr/>
        <w:t xml:space="preserve">Un point de contact à jour chez le partenaire est identifié pour pouvoir réagir en cas d'incident de sécurité.</w:t>
      </w:r>
    </w:p>
    <w:p>
      <w:pPr>
        <w:pStyle w:val="Heading2"/>
      </w:pPr>
      <w:bookmarkStart w:id="162" w:name="_Toc162"/>
      <w:r>
        <w:t>5.8	Contrôler et protéger l'accès aux salles serveurs et aux locaux techniques</w:t>
      </w:r>
      <w:bookmarkEnd w:id="162"/>
    </w:p>
    <w:p>
      <w:pPr>
        <w:pStyle w:val="Heading3"/>
      </w:pPr>
      <w:bookmarkStart w:id="163" w:name="_Toc163"/>
      <w:r>
        <w:t>Règle 5.8.1 </w:t>
      </w:r>
      <w:bookmarkEnd w:id="163"/>
    </w:p>
    <w:p>
      <w:pPr/>
      <w:r>
        <w:rPr/>
        <w:t xml:space="preserve">Les accès aux salles serveurs et aux locaux techniques sont contrôlés à l'aide de serrures ou de mécanismes de contrôle d'accès par badge.</w:t>
      </w:r>
    </w:p>
    <w:p>
      <w:pPr>
        <w:pStyle w:val="Heading3"/>
      </w:pPr>
      <w:bookmarkStart w:id="164" w:name="_Toc164"/>
      <w:r>
        <w:t>Règle 5.8.2 </w:t>
      </w:r>
      <w:bookmarkEnd w:id="164"/>
    </w:p>
    <w:p>
      <w:pPr/>
      <w:r>
        <w:rPr/>
        <w:t xml:space="preserve">Les accès non accompagnés des prestataires extérieurs aux salles serveurs et aux locaux techniques sont interdit.</w:t>
      </w:r>
    </w:p>
    <w:p>
      <w:pPr>
        <w:pStyle w:val="Heading3"/>
      </w:pPr>
      <w:bookmarkStart w:id="165" w:name="_Toc165"/>
      <w:r>
        <w:t>Règle 5.8.3 </w:t>
      </w:r>
      <w:bookmarkEnd w:id="165"/>
    </w:p>
    <w:p>
      <w:pPr/>
      <w:r>
        <w:rPr/>
        <w:t xml:space="preserve">Une revue des droits d'accès est réalisée régulièrement afin d'identifier les accès non autorisés.</w:t>
      </w:r>
    </w:p>
    <w:p>
      <w:pPr>
        <w:pStyle w:val="Heading3"/>
      </w:pPr>
      <w:bookmarkStart w:id="166" w:name="_Toc166"/>
      <w:r>
        <w:t>Règle 5.8.4 </w:t>
      </w:r>
      <w:bookmarkEnd w:id="166"/>
    </w:p>
    <w:p>
      <w:pPr/>
      <w:r>
        <w:rPr/>
        <w:t xml:space="preserve">Lors du départ d'un collaborateur ou d'un changement de prestataire ses droits d'accès sont supprimés.</w:t>
      </w:r>
    </w:p>
    <w:p>
      <w:pPr>
        <w:pStyle w:val="Heading3"/>
      </w:pPr>
      <w:bookmarkStart w:id="167" w:name="_Toc167"/>
      <w:r>
        <w:t>Règle 5.8.5 </w:t>
      </w:r>
      <w:bookmarkEnd w:id="167"/>
    </w:p>
    <w:p>
      <w:pPr/>
      <w:r>
        <w:rPr/>
        <w:t xml:space="preserve">Les prises réseau se trouvant dans des zones ouvertes au public (salle de réunion, hall d'accueil, couloirs, placards, etc.) sont désactivées.</w:t>
      </w:r>
    </w:p>
    <w:p>
      <w:r>
        <w:br w:type="page"/>
      </w:r>
    </w:p>
    <w:p>
      <w:pPr>
        <w:pStyle w:val="Heading1"/>
      </w:pPr>
      <w:bookmarkStart w:id="168" w:name="_Toc168"/>
      <w:r>
        <w:t>6	Sécuriser l'administration</w:t>
      </w:r>
      <w:bookmarkEnd w:id="168"/>
    </w:p>
    <w:p>
      <w:pPr>
        <w:pStyle w:val="Heading2"/>
      </w:pPr>
      <w:bookmarkStart w:id="169" w:name="_Toc169"/>
      <w:r>
        <w:t>6.1	Interdire l'accès à Internet depuis les postes ou serveurs utilisés pour l'administration du système d'information</w:t>
      </w:r>
      <w:bookmarkEnd w:id="169"/>
    </w:p>
    <w:p>
      <w:pPr>
        <w:pStyle w:val="Heading3"/>
      </w:pPr>
      <w:bookmarkStart w:id="170" w:name="_Toc170"/>
      <w:r>
        <w:t>Règle 6.1.1 </w:t>
      </w:r>
      <w:bookmarkEnd w:id="170"/>
    </w:p>
    <w:p>
      <w:pPr/>
      <w:r>
        <w:rPr/>
        <w:t xml:space="preserve">Les postes utilisés pour l'administration des systèmes d'information de l'entité sont physiquement déconnecté d'internet.</w:t>
      </w:r>
    </w:p>
    <w:p>
      <w:pPr>
        <w:pStyle w:val="Heading3"/>
      </w:pPr>
      <w:bookmarkStart w:id="171" w:name="_Toc171"/>
      <w:r>
        <w:t>Règle 6.1.2 </w:t>
      </w:r>
      <w:bookmarkEnd w:id="171"/>
    </w:p>
    <w:p>
      <w:pPr/>
      <w:r>
        <w:rPr/>
        <w:t xml:space="preserve">Les administrateurs de l'entité disposent d'un deuxième poste de travail pour les activités hors administration.</w:t>
      </w:r>
    </w:p>
    <w:p>
      <w:pPr>
        <w:pStyle w:val="Heading3"/>
      </w:pPr>
      <w:bookmarkStart w:id="172" w:name="_Toc172"/>
      <w:r>
        <w:t>Règle 6.1.3 </w:t>
      </w:r>
      <w:bookmarkEnd w:id="172"/>
    </w:p>
    <w:p>
      <w:pPr/>
      <w:r>
        <w:rPr/>
        <w:t xml:space="preserve">Les mises à jour des équipements administrés se font via une zone d'échange sécurisée ou en mode déconnecté (via un support amovible).</w:t>
      </w:r>
    </w:p>
    <w:p>
      <w:pPr>
        <w:pStyle w:val="Heading2"/>
      </w:pPr>
      <w:bookmarkStart w:id="173" w:name="_Toc173"/>
      <w:r>
        <w:t>6.2	Utiliser un réseau dédié et cloisonné pour l'administration du système d'information</w:t>
      </w:r>
      <w:bookmarkEnd w:id="173"/>
    </w:p>
    <w:p>
      <w:pPr>
        <w:pStyle w:val="Heading3"/>
      </w:pPr>
      <w:bookmarkStart w:id="174" w:name="_Toc174"/>
      <w:r>
        <w:t>Règle 6.2.1 </w:t>
      </w:r>
      <w:bookmarkEnd w:id="174"/>
    </w:p>
    <w:p>
      <w:pPr/>
      <w:r>
        <w:rPr/>
        <w:t xml:space="preserve">L'entité utilise un réseau dédié aux activités d'administration de ses systèmes d'information.</w:t>
      </w:r>
    </w:p>
    <w:p>
      <w:pPr>
        <w:pStyle w:val="Heading3"/>
      </w:pPr>
      <w:bookmarkStart w:id="175" w:name="_Toc175"/>
      <w:r>
        <w:t>Règle 6.2.2 </w:t>
      </w:r>
      <w:bookmarkEnd w:id="175"/>
    </w:p>
    <w:p>
      <w:pPr/>
      <w:r>
        <w:rPr/>
        <w:t xml:space="preserve">L'entité met en œuvre un cloisonnement logique ou physique de son réseau d'administration.</w:t>
      </w:r>
    </w:p>
    <w:p>
      <w:pPr>
        <w:pStyle w:val="Heading3"/>
      </w:pPr>
      <w:bookmarkStart w:id="176" w:name="_Toc176"/>
      <w:r>
        <w:t>Règle 6.2.3 </w:t>
      </w:r>
      <w:bookmarkEnd w:id="176"/>
    </w:p>
    <w:p>
      <w:pPr/>
      <w:r>
        <w:rPr/>
        <w:t xml:space="preserve">Dans le cas d'un cloisonnement logique, un filtrage IP (pare-feu) contrôle les flux réseaux.</w:t>
      </w:r>
    </w:p>
    <w:p>
      <w:pPr>
        <w:pStyle w:val="Heading2"/>
      </w:pPr>
      <w:bookmarkStart w:id="177" w:name="_Toc177"/>
      <w:r>
        <w:t>6.3	Limiter au strict besoin opérationnel les droits d'administration sur les postes de travail</w:t>
      </w:r>
      <w:bookmarkEnd w:id="177"/>
    </w:p>
    <w:p>
      <w:pPr>
        <w:pStyle w:val="Heading3"/>
      </w:pPr>
      <w:bookmarkStart w:id="178" w:name="_Toc178"/>
      <w:r>
        <w:t>Règle 6.3.1 </w:t>
      </w:r>
      <w:bookmarkEnd w:id="178"/>
    </w:p>
    <w:p>
      <w:pPr/>
      <w:r>
        <w:rPr/>
        <w:t xml:space="preserve">Par défaut, les utilisateurs ne dispose pas de privilèges d'administration sur leur poste de travail.</w:t>
      </w:r>
    </w:p>
    <w:p>
      <w:pPr>
        <w:pStyle w:val="Heading3"/>
      </w:pPr>
      <w:bookmarkStart w:id="179" w:name="_Toc179"/>
      <w:r>
        <w:t>Règle 6.3.2 </w:t>
      </w:r>
      <w:bookmarkEnd w:id="179"/>
    </w:p>
    <w:p>
      <w:pPr/>
      <w:r>
        <w:rPr/>
        <w:t xml:space="preserve">L'entité met en œuvre un magasin d'applications validées du point de vue de la sécurité.</w:t>
      </w:r>
    </w:p>
    <w:p>
      <w:pPr>
        <w:pStyle w:val="Heading3"/>
      </w:pPr>
      <w:bookmarkStart w:id="180" w:name="_Toc180"/>
      <w:r>
        <w:t>Règle 6.3.3 </w:t>
      </w:r>
      <w:bookmarkEnd w:id="180"/>
    </w:p>
    <w:p>
      <w:pPr/>
      <w:r>
        <w:rPr/>
        <w:t xml:space="preserve">Seuls les agent chargés de l'administration des postes disposent de ces droits lors de leurs interventions.</w:t>
      </w:r>
    </w:p>
    <w:p>
      <w:pPr>
        <w:pStyle w:val="Heading3"/>
      </w:pPr>
      <w:bookmarkStart w:id="181" w:name="_Toc181"/>
      <w:r>
        <w:t>Règle 6.3.4 </w:t>
      </w:r>
      <w:bookmarkEnd w:id="181"/>
    </w:p>
    <w:p>
      <w:pPr/>
      <w:r>
        <w:rPr/>
        <w:t xml:space="preserve">Si une délégation de privilèges sur un poste de travail est nécessaire  elle est tracée, limitée dans le temps et retirée à échéance.</w:t>
      </w:r>
    </w:p>
    <w:p>
      <w:r>
        <w:br w:type="page"/>
      </w:r>
    </w:p>
    <w:p>
      <w:pPr>
        <w:pStyle w:val="Heading1"/>
      </w:pPr>
      <w:bookmarkStart w:id="182" w:name="_Toc182"/>
      <w:r>
        <w:t>7	Gérer le nomadisme</w:t>
      </w:r>
      <w:bookmarkEnd w:id="182"/>
    </w:p>
    <w:p>
      <w:pPr>
        <w:pStyle w:val="Heading2"/>
      </w:pPr>
      <w:bookmarkStart w:id="183" w:name="_Toc183"/>
      <w:r>
        <w:t>7.1	Prendre des mesures de sécurisation physique des terminaux nomades</w:t>
      </w:r>
      <w:bookmarkEnd w:id="183"/>
    </w:p>
    <w:p>
      <w:pPr>
        <w:pStyle w:val="Heading3"/>
      </w:pPr>
      <w:bookmarkStart w:id="184" w:name="_Toc184"/>
      <w:r>
        <w:t>Règle 7.1.1 </w:t>
      </w:r>
      <w:bookmarkEnd w:id="184"/>
    </w:p>
    <w:p>
      <w:pPr/>
      <w:r>
        <w:rPr/>
        <w:t xml:space="preserve">Les utilisateurs sont sensibilisés aux risques spécifiques liés aux équipements informatiques lors d'un déplacement.</w:t>
      </w:r>
    </w:p>
    <w:p>
      <w:pPr>
        <w:pStyle w:val="Heading3"/>
      </w:pPr>
      <w:bookmarkStart w:id="185" w:name="_Toc185"/>
      <w:r>
        <w:t>Règle 7.1.2 </w:t>
      </w:r>
      <w:bookmarkEnd w:id="185"/>
    </w:p>
    <w:p>
      <w:pPr/>
      <w:r>
        <w:rPr/>
        <w:t xml:space="preserve">Les terminaux nomades de l'entité sont équipés d'un filtre de confidentialité.</w:t>
      </w:r>
    </w:p>
    <w:p>
      <w:pPr>
        <w:pStyle w:val="Heading3"/>
      </w:pPr>
      <w:bookmarkStart w:id="186" w:name="_Toc186"/>
      <w:r>
        <w:t>Règle 7.1.3 </w:t>
      </w:r>
      <w:bookmarkEnd w:id="186"/>
    </w:p>
    <w:p>
      <w:pPr/>
      <w:r>
        <w:rPr/>
        <w:t xml:space="preserve">Les terminaux nomades de l'entité ne portent pas de signe distinctifs liés à l'entité.</w:t>
      </w:r>
    </w:p>
    <w:p>
      <w:pPr>
        <w:pStyle w:val="Heading2"/>
      </w:pPr>
      <w:bookmarkStart w:id="187" w:name="_Toc187"/>
      <w:r>
        <w:t>7.2	Chiffrer les données sensibles, en particulier sur le matériel potentiellement perdable</w:t>
      </w:r>
      <w:bookmarkEnd w:id="187"/>
    </w:p>
    <w:p>
      <w:pPr>
        <w:pStyle w:val="Heading3"/>
      </w:pPr>
      <w:bookmarkStart w:id="188" w:name="_Toc188"/>
      <w:r>
        <w:t>Règle 7.2.1 </w:t>
      </w:r>
      <w:bookmarkEnd w:id="188"/>
    </w:p>
    <w:p>
      <w:pPr/>
      <w:r>
        <w:rPr/>
        <w:t xml:space="preserve">Les données stockées sur supports amovibles (disques durs externes, clefs USB) de l'entité sont chiffrées.</w:t>
      </w:r>
    </w:p>
    <w:p>
      <w:pPr>
        <w:pStyle w:val="Heading3"/>
      </w:pPr>
      <w:bookmarkStart w:id="189" w:name="_Toc189"/>
      <w:r>
        <w:t>Règle 7.2.2 </w:t>
      </w:r>
      <w:bookmarkEnd w:id="189"/>
    </w:p>
    <w:p>
      <w:pPr/>
      <w:r>
        <w:rPr/>
        <w:t xml:space="preserve">Les supports de stockages des terminaux nomades (ordinateurs, tablettes, smartphones) de l'entité sont chiffrés.</w:t>
      </w:r>
    </w:p>
    <w:p>
      <w:pPr>
        <w:pStyle w:val="Heading2"/>
      </w:pPr>
      <w:bookmarkStart w:id="190" w:name="_Toc190"/>
      <w:r>
        <w:t>7.3	Sécuriser la connexion réseau des postes utilisés en situation de nomadisme</w:t>
      </w:r>
      <w:bookmarkEnd w:id="190"/>
    </w:p>
    <w:p>
      <w:pPr>
        <w:pStyle w:val="Heading3"/>
      </w:pPr>
      <w:bookmarkStart w:id="191" w:name="_Toc191"/>
      <w:r>
        <w:t>Règle 7.3.1 </w:t>
      </w:r>
      <w:bookmarkEnd w:id="191"/>
    </w:p>
    <w:p>
      <w:pPr/>
      <w:r>
        <w:rPr/>
        <w:t xml:space="preserve">L'entité met en œuvre un réseau privé virtuel (VPN) entre son système d'information et les terminaux nomades.</w:t>
      </w:r>
    </w:p>
    <w:p>
      <w:pPr>
        <w:pStyle w:val="Heading3"/>
      </w:pPr>
      <w:bookmarkStart w:id="192" w:name="_Toc192"/>
      <w:r>
        <w:t>Règle 7.3.2 </w:t>
      </w:r>
      <w:bookmarkEnd w:id="192"/>
    </w:p>
    <w:p>
      <w:pPr/>
      <w:r>
        <w:rPr/>
        <w:t xml:space="preserve">Le VPN à destination des terminaux nomades utilise le standard IPSEC.</w:t>
      </w:r>
    </w:p>
    <w:p>
      <w:pPr>
        <w:pStyle w:val="Heading3"/>
      </w:pPr>
      <w:bookmarkStart w:id="193" w:name="_Toc193"/>
      <w:r>
        <w:t>Règle 7.3.3 </w:t>
      </w:r>
      <w:bookmarkEnd w:id="193"/>
    </w:p>
    <w:p>
      <w:pPr/>
      <w:r>
        <w:rPr/>
        <w:t xml:space="preserve">Le tunnel VPN est automatiquement activé et non débrayable dès que le terminal est en situation de nomadisme.</w:t>
      </w:r>
    </w:p>
    <w:p>
      <w:pPr>
        <w:pStyle w:val="Heading3"/>
      </w:pPr>
      <w:bookmarkStart w:id="194" w:name="_Toc194"/>
      <w:r>
        <w:t>Règle 7.3.4 </w:t>
      </w:r>
      <w:bookmarkEnd w:id="194"/>
    </w:p>
    <w:p>
      <w:pPr/>
      <w:r>
        <w:rPr/>
        <w:t xml:space="preserve">Une procédure de révocation identificants de connexion en cas de perte de vol existe et est à jour.</w:t>
      </w:r>
    </w:p>
    <w:p>
      <w:pPr>
        <w:pStyle w:val="Heading3"/>
      </w:pPr>
      <w:bookmarkStart w:id="195" w:name="_Toc195"/>
      <w:r>
        <w:t>Règle 7.3.5 </w:t>
      </w:r>
      <w:bookmarkEnd w:id="195"/>
    </w:p>
    <w:p>
      <w:pPr/>
      <w:r>
        <w:rPr/>
        <w:t xml:space="preserve">Une plainte est systématiquement déposée en cas de vol d'un terminal nomade.</w:t>
      </w:r>
    </w:p>
    <w:p>
      <w:pPr>
        <w:pStyle w:val="Heading3"/>
      </w:pPr>
      <w:bookmarkStart w:id="196" w:name="_Toc196"/>
      <w:r>
        <w:t>Règle 7.3.6 </w:t>
      </w:r>
      <w:bookmarkEnd w:id="196"/>
    </w:p>
    <w:p>
      <w:pPr/>
      <w:r>
        <w:rPr/>
        <w:t xml:space="preserve">L'entité met en œuvre un mécanisme d'authentification forte pour les ordinateurs nomades. La démarche est formalisée dans une procédure interne à l'entité.</w:t>
      </w:r>
    </w:p>
    <w:p>
      <w:pPr>
        <w:pStyle w:val="Heading2"/>
      </w:pPr>
      <w:bookmarkStart w:id="197" w:name="_Toc197"/>
      <w:r>
        <w:t>7.4	Adopter des politiques de sécurité dédiées aux terminaux mobiles</w:t>
      </w:r>
      <w:bookmarkEnd w:id="197"/>
    </w:p>
    <w:p>
      <w:pPr>
        <w:pStyle w:val="Heading3"/>
      </w:pPr>
      <w:bookmarkStart w:id="198" w:name="_Toc198"/>
      <w:r>
        <w:t>Règle 7.4.1 </w:t>
      </w:r>
      <w:bookmarkEnd w:id="198"/>
    </w:p>
    <w:p>
      <w:pPr/>
      <w:r>
        <w:rPr/>
        <w:t xml:space="preserve">L'entité met en œuvre une solution de gestion centralisée de sa flotte de terminaux nomades.</w:t>
      </w:r>
    </w:p>
    <w:p>
      <w:pPr>
        <w:pStyle w:val="Heading3"/>
      </w:pPr>
      <w:bookmarkStart w:id="199" w:name="_Toc199"/>
      <w:r>
        <w:t>Règle 7.4.2 </w:t>
      </w:r>
      <w:bookmarkEnd w:id="199"/>
    </w:p>
    <w:p>
      <w:pPr/>
      <w:r>
        <w:rPr/>
        <w:t xml:space="preserve">La configuration de sécurité des terminaux nomades est homogène.</w:t>
      </w:r>
    </w:p>
    <w:p>
      <w:pPr>
        <w:pStyle w:val="Heading3"/>
      </w:pPr>
      <w:bookmarkStart w:id="200" w:name="_Toc200"/>
      <w:r>
        <w:t>Règle 7.4.3 </w:t>
      </w:r>
      <w:bookmarkEnd w:id="200"/>
    </w:p>
    <w:p>
      <w:pPr/>
      <w:r>
        <w:rPr/>
        <w:t xml:space="preserve">L'entité déploie un magasin d'applications limitant l'accès à des applications validées du point de vue de la sécurité.</w:t>
      </w:r>
    </w:p>
    <w:p>
      <w:r>
        <w:br w:type="page"/>
      </w:r>
    </w:p>
    <w:p>
      <w:pPr>
        <w:pStyle w:val="Heading1"/>
      </w:pPr>
      <w:bookmarkStart w:id="201" w:name="_Toc201"/>
      <w:r>
        <w:t>8	Maintenir le système d'information à jour</w:t>
      </w:r>
      <w:bookmarkEnd w:id="201"/>
    </w:p>
    <w:p>
      <w:pPr>
        <w:pStyle w:val="Heading2"/>
      </w:pPr>
      <w:bookmarkStart w:id="202" w:name="_Toc202"/>
      <w:r>
        <w:t>8.1	Définir une politique de mise à jour des composants du système d'information</w:t>
      </w:r>
      <w:bookmarkEnd w:id="202"/>
    </w:p>
    <w:p>
      <w:pPr>
        <w:pStyle w:val="Heading3"/>
      </w:pPr>
      <w:bookmarkStart w:id="203" w:name="_Toc203"/>
      <w:r>
        <w:t>Règle 8.1.1 </w:t>
      </w:r>
      <w:bookmarkEnd w:id="203"/>
    </w:p>
    <w:p>
      <w:pPr/>
      <w:r>
        <w:rPr/>
        <w:t xml:space="preserve">L'entité dispose d'un dispositif de veille concernant les vulnérabilités et les mises à jours des composants de son système d'information.</w:t>
      </w:r>
    </w:p>
    <w:p>
      <w:pPr>
        <w:pStyle w:val="Heading3"/>
      </w:pPr>
      <w:bookmarkStart w:id="204" w:name="_Toc204"/>
      <w:r>
        <w:t>Règle 8.1.2 </w:t>
      </w:r>
      <w:bookmarkEnd w:id="204"/>
    </w:p>
    <w:p>
      <w:pPr/>
      <w:r>
        <w:rPr/>
        <w:t xml:space="preserve">Une procédure de mise à jour des composants du système d'information existe et est à jour.</w:t>
      </w:r>
    </w:p>
    <w:p>
      <w:pPr>
        <w:pStyle w:val="Heading3"/>
      </w:pPr>
      <w:bookmarkStart w:id="205" w:name="_Toc205"/>
      <w:r>
        <w:t>Règle 8.1.3 </w:t>
      </w:r>
      <w:bookmarkEnd w:id="205"/>
    </w:p>
    <w:p>
      <w:pPr/>
      <w:r>
        <w:rPr/>
        <w:t xml:space="preserve">La procédure de mise à jour des composants du SI précise les sources d'information relatives à la publication des mises à jour.</w:t>
      </w:r>
    </w:p>
    <w:p>
      <w:pPr>
        <w:pStyle w:val="Heading3"/>
      </w:pPr>
      <w:bookmarkStart w:id="206" w:name="_Toc206"/>
      <w:r>
        <w:t>Règle 8.1.4 </w:t>
      </w:r>
      <w:bookmarkEnd w:id="206"/>
    </w:p>
    <w:p>
      <w:pPr/>
      <w:r>
        <w:rPr/>
        <w:t xml:space="preserve">La procédure de mise à jour des composants du SI précise les outils utilisés pour déployer les correctifs de sécurité.</w:t>
      </w:r>
    </w:p>
    <w:p>
      <w:pPr>
        <w:pStyle w:val="Heading2"/>
      </w:pPr>
      <w:bookmarkStart w:id="207" w:name="_Toc207"/>
      <w:r>
        <w:t>8.2	Anticiper la fin de la maintenance des logiciels et systèmes et limiter les adhérences logicielles</w:t>
      </w:r>
      <w:bookmarkEnd w:id="207"/>
    </w:p>
    <w:p>
      <w:pPr>
        <w:pStyle w:val="Heading3"/>
      </w:pPr>
      <w:bookmarkStart w:id="208" w:name="_Toc208"/>
      <w:r>
        <w:t>Règle 8.2.1 </w:t>
      </w:r>
      <w:bookmarkEnd w:id="208"/>
    </w:p>
    <w:p>
      <w:pPr/>
      <w:r>
        <w:rPr/>
        <w:t xml:space="preserve">L'entité assure un suivi des mises à jour et des dates de fin de support des logiciels.</w:t>
      </w:r>
    </w:p>
    <w:p>
      <w:pPr>
        <w:pStyle w:val="Heading3"/>
      </w:pPr>
      <w:bookmarkStart w:id="209" w:name="_Toc209"/>
      <w:r>
        <w:t>Règle 8.2.2 </w:t>
      </w:r>
      <w:bookmarkEnd w:id="209"/>
    </w:p>
    <w:p>
      <w:pPr/>
      <w:r>
        <w:rPr/>
        <w:t xml:space="preserve">L'entité dispose d'un plan de renouvellement des composants matériels et logiciels obsolètes.</w:t>
      </w:r>
    </w:p>
    <w:p>
      <w:pPr>
        <w:pStyle w:val="Heading3"/>
      </w:pPr>
      <w:bookmarkStart w:id="210" w:name="_Toc210"/>
      <w:r>
        <w:t>Règle 8.2.3 </w:t>
      </w:r>
      <w:bookmarkEnd w:id="210"/>
    </w:p>
    <w:p>
      <w:pPr/>
      <w:r>
        <w:rPr/>
        <w:t xml:space="preserve">Les contrats avec les prestataires et fournisseurs intègrent des clauses garantissant le suivi des correctifs de sécurité et la gestion des obsolescences</w:t>
      </w:r>
    </w:p>
    <w:p>
      <w:r>
        <w:br w:type="page"/>
      </w:r>
    </w:p>
    <w:p>
      <w:pPr>
        <w:pStyle w:val="Heading1"/>
      </w:pPr>
      <w:bookmarkStart w:id="211" w:name="_Toc211"/>
      <w:r>
        <w:t>9	Superviser, auditer, réagir</w:t>
      </w:r>
      <w:bookmarkEnd w:id="211"/>
    </w:p>
    <w:p>
      <w:pPr>
        <w:pStyle w:val="Heading2"/>
      </w:pPr>
      <w:bookmarkStart w:id="212" w:name="_Toc212"/>
      <w:r>
        <w:t>9.1	Activer et configurer les journaux des composants les plus importants</w:t>
      </w:r>
      <w:bookmarkEnd w:id="212"/>
    </w:p>
    <w:p>
      <w:pPr>
        <w:pStyle w:val="Heading3"/>
      </w:pPr>
      <w:bookmarkStart w:id="213" w:name="_Toc213"/>
      <w:r>
        <w:t>Règle 9.1.1 </w:t>
      </w:r>
      <w:bookmarkEnd w:id="213"/>
    </w:p>
    <w:p>
      <w:pPr/>
      <w:r>
        <w:rPr/>
        <w:t xml:space="preserve">Les journaux des pare-feu sont activés et intègrent notamment la liste des paquets bloqués.</w:t>
      </w:r>
    </w:p>
    <w:p>
      <w:pPr>
        <w:pStyle w:val="Heading3"/>
      </w:pPr>
      <w:bookmarkStart w:id="214" w:name="_Toc214"/>
      <w:r>
        <w:t>Règle 9.1.2 </w:t>
      </w:r>
      <w:bookmarkEnd w:id="214"/>
    </w:p>
    <w:p>
      <w:pPr/>
      <w:r>
        <w:rPr/>
        <w:t xml:space="preserve">Les journaux des applications métiers sont activés et contiennent notamment les informations d'authentifications et d'autorisations (échecs et succès).</w:t>
      </w:r>
    </w:p>
    <w:p>
      <w:pPr>
        <w:pStyle w:val="Heading3"/>
      </w:pPr>
      <w:bookmarkStart w:id="215" w:name="_Toc215"/>
      <w:r>
        <w:t>Règle 9.1.3 </w:t>
      </w:r>
      <w:bookmarkEnd w:id="215"/>
    </w:p>
    <w:p>
      <w:pPr/>
      <w:r>
        <w:rPr/>
        <w:t xml:space="preserve">Les journaux des systèmes d'exploitation des postes de travail sont activés et contiennent notamment les informations d'authentifications et d'autorisations (échecs et succès).</w:t>
      </w:r>
    </w:p>
    <w:p>
      <w:pPr>
        <w:pStyle w:val="Heading3"/>
      </w:pPr>
      <w:bookmarkStart w:id="216" w:name="_Toc216"/>
      <w:r>
        <w:t>Règle 9.1.4 </w:t>
      </w:r>
      <w:bookmarkEnd w:id="216"/>
    </w:p>
    <w:p>
      <w:pPr/>
      <w:r>
        <w:rPr/>
        <w:t xml:space="preserve">L'entité dispose d'un serveur de temps (NTP) utilisé pour synchroniser les horloges des composants critiques du son système d'information.</w:t>
      </w:r>
    </w:p>
    <w:p>
      <w:pPr>
        <w:pStyle w:val="Heading3"/>
      </w:pPr>
      <w:bookmarkStart w:id="217" w:name="_Toc217"/>
      <w:r>
        <w:t>Règle 9.1.5 </w:t>
      </w:r>
      <w:bookmarkEnd w:id="217"/>
    </w:p>
    <w:p>
      <w:pPr/>
      <w:r>
        <w:rPr/>
        <w:t xml:space="preserve">L'entité dispose d'une collecte centralisée des journaux d'activités des composants critiques de son système d'information.</w:t>
      </w:r>
    </w:p>
    <w:p>
      <w:pPr>
        <w:pStyle w:val="Heading2"/>
      </w:pPr>
      <w:bookmarkStart w:id="218" w:name="_Toc218"/>
      <w:r>
        <w:t>9.2	Définir et appliquer une politique de sauvegarde des composants critiques</w:t>
      </w:r>
      <w:bookmarkEnd w:id="218"/>
    </w:p>
    <w:p>
      <w:pPr>
        <w:pStyle w:val="Heading3"/>
      </w:pPr>
      <w:bookmarkStart w:id="219" w:name="_Toc219"/>
      <w:r>
        <w:t>Règle 9.2.1 </w:t>
      </w:r>
      <w:bookmarkEnd w:id="219"/>
    </w:p>
    <w:p>
      <w:pPr/>
      <w:r>
        <w:rPr/>
        <w:t xml:space="preserve">Une politique de sauvegarde existe et est à jour.</w:t>
      </w:r>
    </w:p>
    <w:p>
      <w:pPr>
        <w:pStyle w:val="Heading3"/>
      </w:pPr>
      <w:bookmarkStart w:id="220" w:name="_Toc220"/>
      <w:r>
        <w:t>Règle 9.2.2 </w:t>
      </w:r>
      <w:bookmarkEnd w:id="220"/>
    </w:p>
    <w:p>
      <w:pPr/>
      <w:r>
        <w:rPr/>
        <w:t xml:space="preserve">La politique de sauvegarde précise la liste des données jugées vitales pour l'entité et les serveurs concernés.</w:t>
      </w:r>
    </w:p>
    <w:p>
      <w:pPr>
        <w:pStyle w:val="Heading3"/>
      </w:pPr>
      <w:bookmarkStart w:id="221" w:name="_Toc221"/>
      <w:r>
        <w:t>Règle 9.2.3 </w:t>
      </w:r>
      <w:bookmarkEnd w:id="221"/>
    </w:p>
    <w:p>
      <w:pPr/>
      <w:r>
        <w:rPr/>
        <w:t xml:space="preserve">La politique de sauvegarde précise le type et le fréquence des sauvegardes.</w:t>
      </w:r>
    </w:p>
    <w:p>
      <w:pPr>
        <w:pStyle w:val="Heading3"/>
      </w:pPr>
      <w:bookmarkStart w:id="222" w:name="_Toc222"/>
      <w:r>
        <w:t>Règle 9.2.4 </w:t>
      </w:r>
      <w:bookmarkEnd w:id="222"/>
    </w:p>
    <w:p>
      <w:pPr/>
      <w:r>
        <w:rPr/>
        <w:t xml:space="preserve">La politique de sauvegarde précise la procédure d'administration et d'exécution des sauvegardes.</w:t>
      </w:r>
    </w:p>
    <w:p>
      <w:pPr>
        <w:pStyle w:val="Heading3"/>
      </w:pPr>
      <w:bookmarkStart w:id="223" w:name="_Toc223"/>
      <w:r>
        <w:t>Règle 9.2.5 </w:t>
      </w:r>
      <w:bookmarkEnd w:id="223"/>
    </w:p>
    <w:p>
      <w:pPr/>
      <w:r>
        <w:rPr/>
        <w:t xml:space="preserve">La politique de sauvegarde précise les procédures de test et de restauration.</w:t>
      </w:r>
    </w:p>
    <w:p>
      <w:pPr>
        <w:pStyle w:val="Heading3"/>
      </w:pPr>
      <w:bookmarkStart w:id="224" w:name="_Toc224"/>
      <w:r>
        <w:t>Règle 9.2.6 </w:t>
      </w:r>
      <w:bookmarkEnd w:id="224"/>
    </w:p>
    <w:p>
      <w:pPr/>
      <w:r>
        <w:rPr/>
        <w:t xml:space="preserve">Un exercice de restauration des données est planifié au moins une fois par an.</w:t>
      </w:r>
    </w:p>
    <w:p>
      <w:pPr>
        <w:pStyle w:val="Heading2"/>
      </w:pPr>
      <w:bookmarkStart w:id="225" w:name="_Toc225"/>
      <w:r>
        <w:t>9.3	Procéder à des contrôles et audits de sécurité réguliers puis appliquer les actions correctives associées</w:t>
      </w:r>
      <w:bookmarkEnd w:id="225"/>
    </w:p>
    <w:p>
      <w:pPr>
        <w:pStyle w:val="Heading3"/>
      </w:pPr>
      <w:bookmarkStart w:id="226" w:name="_Toc226"/>
      <w:r>
        <w:t>Règle 9.3.1 </w:t>
      </w:r>
      <w:bookmarkEnd w:id="226"/>
    </w:p>
    <w:p>
      <w:pPr/>
      <w:r>
        <w:rPr/>
        <w:t xml:space="preserve">Un audit interne de la sécurité du système d'information est réalisé au moins une fois par an.</w:t>
      </w:r>
    </w:p>
    <w:p>
      <w:pPr>
        <w:pStyle w:val="Heading3"/>
      </w:pPr>
      <w:bookmarkStart w:id="227" w:name="_Toc227"/>
      <w:r>
        <w:t>Règle 9.3.2 </w:t>
      </w:r>
      <w:bookmarkEnd w:id="227"/>
    </w:p>
    <w:p>
      <w:pPr/>
      <w:r>
        <w:rPr/>
        <w:t xml:space="preserve">Un audit externe de la sécurité du système d'information est réalisé régulièrement.</w:t>
      </w:r>
    </w:p>
    <w:p>
      <w:pPr>
        <w:pStyle w:val="Heading3"/>
      </w:pPr>
      <w:bookmarkStart w:id="228" w:name="_Toc228"/>
      <w:r>
        <w:t>Règle 9.3.3 </w:t>
      </w:r>
      <w:bookmarkEnd w:id="228"/>
    </w:p>
    <w:p>
      <w:pPr/>
      <w:r>
        <w:rPr/>
        <w:t xml:space="preserve">Les actions correctives, identifiées lors des audits internes et externes, sont planifiée et des points de suivi organisés à intervalles réguliers.</w:t>
      </w:r>
    </w:p>
    <w:p>
      <w:pPr>
        <w:pStyle w:val="Heading2"/>
      </w:pPr>
      <w:bookmarkStart w:id="229" w:name="_Toc229"/>
      <w:r>
        <w:t>9.4	Désigner un référent en sécurité des systèmes d'information et le faire connaître auprès du personnel</w:t>
      </w:r>
      <w:bookmarkEnd w:id="229"/>
    </w:p>
    <w:p>
      <w:pPr>
        <w:pStyle w:val="Heading3"/>
      </w:pPr>
      <w:bookmarkStart w:id="230" w:name="_Toc230"/>
      <w:r>
        <w:t>Règle 9.4.1 </w:t>
      </w:r>
      <w:bookmarkEnd w:id="230"/>
    </w:p>
    <w:p>
      <w:pPr/>
      <w:r>
        <w:rPr/>
        <w:t xml:space="preserve">L'entité a formellement désigné un référente en sécurité des systèmes d'information.</w:t>
      </w:r>
    </w:p>
    <w:p>
      <w:pPr>
        <w:pStyle w:val="Heading3"/>
      </w:pPr>
      <w:bookmarkStart w:id="231" w:name="_Toc231"/>
      <w:r>
        <w:t>Règle 9.4.2 </w:t>
      </w:r>
      <w:bookmarkEnd w:id="231"/>
    </w:p>
    <w:p>
      <w:pPr/>
      <w:r>
        <w:rPr/>
        <w:t xml:space="preserve">Le référent en sécurité des systèmes d'information dispose d'une lettre de mission validée par la direction de l'entité.</w:t>
      </w:r>
    </w:p>
    <w:p>
      <w:pPr>
        <w:pStyle w:val="Heading3"/>
      </w:pPr>
      <w:bookmarkStart w:id="232" w:name="_Toc232"/>
      <w:r>
        <w:t>Règle 9.4.3 </w:t>
      </w:r>
      <w:bookmarkEnd w:id="232"/>
    </w:p>
    <w:p>
      <w:pPr/>
      <w:r>
        <w:rPr/>
        <w:t xml:space="preserve">Le référent en sécurité des systèmes d'information est connu de tous les utilisateurs.</w:t>
      </w:r>
    </w:p>
    <w:p>
      <w:pPr>
        <w:pStyle w:val="Heading3"/>
      </w:pPr>
      <w:bookmarkStart w:id="233" w:name="_Toc233"/>
      <w:r>
        <w:t>Règle 9.4.4 </w:t>
      </w:r>
      <w:bookmarkEnd w:id="233"/>
    </w:p>
    <w:p>
      <w:pPr/>
      <w:r>
        <w:rPr/>
        <w:t xml:space="preserve">Le référent en sécurité des systèmes d'information est en charge de la définition des règles de sécurité et de la vérification de leur application.</w:t>
      </w:r>
    </w:p>
    <w:p>
      <w:pPr>
        <w:pStyle w:val="Heading3"/>
      </w:pPr>
      <w:bookmarkStart w:id="234" w:name="_Toc234"/>
      <w:r>
        <w:t>Règle 9.4.5 </w:t>
      </w:r>
      <w:bookmarkEnd w:id="234"/>
    </w:p>
    <w:p>
      <w:pPr/>
      <w:r>
        <w:rPr/>
        <w:t xml:space="preserve">Le référent en sécurité des systèmes d'information est en charge de la sensibilisation des utilisateurs.</w:t>
      </w:r>
    </w:p>
    <w:p>
      <w:pPr>
        <w:pStyle w:val="Heading2"/>
      </w:pPr>
      <w:bookmarkStart w:id="235" w:name="_Toc235"/>
      <w:r>
        <w:t>9.5	Définir une procédure de gestion des incidents de sécurité</w:t>
      </w:r>
      <w:bookmarkEnd w:id="235"/>
    </w:p>
    <w:p>
      <w:pPr>
        <w:pStyle w:val="Heading3"/>
      </w:pPr>
      <w:bookmarkStart w:id="236" w:name="_Toc236"/>
      <w:r>
        <w:t>Règle 9.5.1 </w:t>
      </w:r>
      <w:bookmarkEnd w:id="236"/>
    </w:p>
    <w:p>
      <w:pPr/>
      <w:r>
        <w:rPr/>
        <w:t xml:space="preserve">Une procédure de gestion des incidents de sécurité existe et est à jour.</w:t>
      </w:r>
    </w:p>
    <w:p>
      <w:pPr>
        <w:pStyle w:val="Heading3"/>
      </w:pPr>
      <w:bookmarkStart w:id="237" w:name="_Toc237"/>
      <w:r>
        <w:t>Règle 9.5.2 </w:t>
      </w:r>
      <w:bookmarkEnd w:id="237"/>
    </w:p>
    <w:p>
      <w:pPr/>
      <w:r>
        <w:rPr/>
        <w:t xml:space="preserve">Le référent en sécurité des systèmes d'information centralise et traite les incidents de sécurité.</w:t>
      </w:r>
    </w:p>
    <w:p>
      <w:pPr>
        <w:pStyle w:val="Heading3"/>
      </w:pPr>
      <w:bookmarkStart w:id="238" w:name="_Toc238"/>
      <w:r>
        <w:t>Règle 9.5.3 </w:t>
      </w:r>
      <w:bookmarkEnd w:id="238"/>
    </w:p>
    <w:p>
      <w:pPr/>
      <w:r>
        <w:rPr/>
        <w:t xml:space="preserve">La procédure de gestion des incidents de sécurité impose la déconnexion du réseau du composant concerné.</w:t>
      </w:r>
    </w:p>
    <w:p>
      <w:pPr>
        <w:pStyle w:val="Heading3"/>
      </w:pPr>
      <w:bookmarkStart w:id="239" w:name="_Toc239"/>
      <w:r>
        <w:t>Règle 9.5.4 </w:t>
      </w:r>
      <w:bookmarkEnd w:id="239"/>
    </w:p>
    <w:p>
      <w:pPr/>
      <w:r>
        <w:rPr/>
        <w:t xml:space="preserve">La procédure de gestion des incidents de sécurité impose le maintien sous tension du composant concerné.</w:t>
      </w:r>
    </w:p>
    <w:p>
      <w:pPr>
        <w:pStyle w:val="Heading3"/>
      </w:pPr>
      <w:bookmarkStart w:id="240" w:name="_Toc240"/>
      <w:r>
        <w:t>Règle 9.5.5 </w:t>
      </w:r>
      <w:bookmarkEnd w:id="240"/>
    </w:p>
    <w:p>
      <w:pPr/>
      <w:r>
        <w:rPr/>
        <w:t xml:space="preserve">La procédure de gestion des incidents de sécurité fixe les modalités d'information de la hiérarchie et du référent en sécurité des systèmes d'information.</w:t>
      </w:r>
    </w:p>
    <w:p>
      <w:pPr>
        <w:pStyle w:val="Heading3"/>
      </w:pPr>
      <w:bookmarkStart w:id="241" w:name="_Toc241"/>
      <w:r>
        <w:t>Règle 9.5.6 </w:t>
      </w:r>
      <w:bookmarkEnd w:id="241"/>
    </w:p>
    <w:p>
      <w:pPr/>
      <w:r>
        <w:rPr/>
        <w:t xml:space="preserve">La procédure de gestion des incidents de sécurité précise les modalités de collecte des informations sur le composant concerné.</w:t>
      </w:r>
    </w:p>
    <w:p>
      <w:pPr>
        <w:pStyle w:val="Heading3"/>
      </w:pPr>
      <w:bookmarkStart w:id="242" w:name="_Toc242"/>
      <w:r>
        <w:t>Règle 9.5.7 </w:t>
      </w:r>
      <w:bookmarkEnd w:id="242"/>
    </w:p>
    <w:p>
      <w:pPr/>
      <w:r>
        <w:rPr/>
        <w:t xml:space="preserve">La procédure de gestion des incidents de sécurité précise les modalités de plainte aurès du service judiciaire compétent.</w:t>
      </w:r>
    </w:p>
    <w:p>
      <w:r>
        <w:br w:type="page"/>
      </w:r>
    </w:p>
    <w:p>
      <w:pPr>
        <w:pStyle w:val="Heading1"/>
      </w:pPr>
      <w:bookmarkStart w:id="243" w:name="_Toc243"/>
      <w:r>
        <w:t>10	Gérer la sécurité par les risques</w:t>
      </w:r>
      <w:bookmarkEnd w:id="243"/>
    </w:p>
    <w:p>
      <w:pPr>
        <w:pStyle w:val="Heading2"/>
      </w:pPr>
      <w:bookmarkStart w:id="244" w:name="_Toc244"/>
      <w:r>
        <w:t>10.1	Mener une analyse de risques formelle</w:t>
      </w:r>
      <w:bookmarkEnd w:id="244"/>
    </w:p>
    <w:p>
      <w:pPr>
        <w:pStyle w:val="Heading3"/>
      </w:pPr>
      <w:bookmarkStart w:id="245" w:name="_Toc245"/>
      <w:r>
        <w:t>Règle 10.1.1 </w:t>
      </w:r>
      <w:bookmarkEnd w:id="245"/>
    </w:p>
    <w:p>
      <w:pPr/>
      <w:r>
        <w:rPr/>
        <w:t xml:space="preserve">L'entité met en œuvre une démarche d'analyse des risques informationnels (EBIOS).</w:t>
      </w:r>
    </w:p>
    <w:p>
      <w:pPr>
        <w:pStyle w:val="Heading3"/>
      </w:pPr>
      <w:bookmarkStart w:id="246" w:name="_Toc246"/>
      <w:r>
        <w:t>Règle 10.1.2 </w:t>
      </w:r>
      <w:bookmarkEnd w:id="246"/>
    </w:p>
    <w:p>
      <w:pPr/>
      <w:r>
        <w:rPr/>
        <w:t xml:space="preserve">Une analyse des risques est réalisée pour chaque système d'information critique de l'entité.</w:t>
      </w:r>
    </w:p>
    <w:p>
      <w:pPr>
        <w:pStyle w:val="Heading3"/>
      </w:pPr>
      <w:bookmarkStart w:id="247" w:name="_Toc247"/>
      <w:r>
        <w:t>Règle 10.1.3 </w:t>
      </w:r>
      <w:bookmarkEnd w:id="247"/>
    </w:p>
    <w:p>
      <w:pPr/>
      <w:r>
        <w:rPr/>
        <w:t xml:space="preserve">L'analyse des risques permet d'exprimer les besoins de sécurité, d'identifier les objectifs de sécurité et de déterminer les exigences de sécurité.</w:t>
      </w:r>
    </w:p>
    <w:sectPr>
      <w:headerReference w:type="default" r:id="rId7"/>
      <w:footerReference w:type="default" r:id="rId8"/>
      <w:pgSz w:orient="portrait" w:w="11905.511811023622" w:h="16837.79527559055"/>
      <w:pgMar w:top="800" w:right="800" w:bottom="800" w:left="800" w:header="800" w:footer="80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before="400"/>
    </w:pPr>
    <w:r>
      <w:t xml:space="preserve">Page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/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after="400"/>
    </w:pPr>
    <w:r>
      <w:t xml:space="preserve">Evaluation du SMSI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,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documentProtection w:enforcement="1" w:edit="readOnly" w:cryptProviderType="rsaFull" w:cryptAlgorithmClass="hash" w:cryptAlgorithmType="typeAny" w:cryptAlgorithmSid="4" w:cryptSpinCount="100000" w:hash="NOYXHXkIBM6/MS1n7d26rBuQ8Ac=" w:salt="/Vkyb5JsQA3ZmQC9Y6cbYA==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before="600" w:after="100"/>
    </w:pPr>
    <w:rPr>
      <w:sz w:val="32"/>
      <w:szCs w:val="32"/>
      <w:b w:val="1"/>
      <w:bCs w:val="1"/>
    </w:rPr>
  </w:style>
  <w:style w:type="paragraph" w:styleId="Heading2">
    <w:link w:val="Heading2Char"/>
    <w:name w:val="heading 2"/>
    <w:basedOn w:val="Normal"/>
    <w:pPr>
      <w:spacing w:before="400" w:after="100"/>
    </w:pPr>
    <w:rPr>
      <w:sz w:val="28"/>
      <w:szCs w:val="28"/>
      <w:b w:val="1"/>
      <w:bCs w:val="1"/>
    </w:rPr>
  </w:style>
  <w:style w:type="paragraph" w:styleId="Heading3">
    <w:link w:val="Heading3Char"/>
    <w:name w:val="heading 3"/>
    <w:basedOn w:val="Normal"/>
    <w:pPr>
      <w:spacing w:before="200" w:after="100"/>
    </w:pPr>
    <w:rPr>
      <w:sz w:val="24"/>
      <w:szCs w:val="24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EvalSMSI</dc:creator>
  <dc:title>Evaluation du SMSI</dc:title>
  <dc:description>Evaluation du SMSI</dc:description>
  <dc:subject/>
  <cp:keywords/>
  <cp:category>Cybersecurity</cp:category>
  <cp:lastModifiedBy>EvalSMSI</cp:lastModifiedBy>
  <dcterms:created xsi:type="dcterms:W3CDTF">2019-10-16T14:13:06+02:00</dcterms:created>
  <dcterms:modified xsi:type="dcterms:W3CDTF">2019-10-16T14:13:06+02:00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