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Strategic Roadmap Report</w:t>
      </w:r>
    </w:p>
    <w:p>
      <w:pPr>
        <w:spacing w:after="200"/>
        <w:jc w:val="center"/>
      </w:pPr>
      <w:r>
        <w:t xml:space="preserve">Intellfence</w:t>
      </w:r>
    </w:p>
    <w:p>
      <w:pPr>
        <w:spacing w:after="400"/>
        <w:jc w:val="center"/>
      </w:pPr>
      <w:r>
        <w:t xml:space="preserve">January 24, 2026</w:t>
      </w:r>
    </w:p>
    <w:p>
      <w:pPr>
        <w:jc w:val="center"/>
      </w:pPr>
      <w:r>
        <w:t xml:space="preserve">Version: draft</w:t>
      </w:r>
    </w:p>
    <w:p>
      <w:pPr>
        <w:pStyle w:val="Heading1"/>
        <w:spacing w:before="400" w:after="200"/>
      </w:pPr>
      <w:r>
        <w:t xml:space="preserve">Executive Summary</w:t>
      </w:r>
    </w:p>
    <w:p>
      <w:pPr>
        <w:spacing w:after="200"/>
      </w:pPr>
      <w:r>
        <w:t xml:space="preserve">**Executive Summary**
Intellfence, a leading player in the cybersecurity industry, is poised to enhance its strategic capabilities through a meticulously crafted roadmap designed to fortify its position as a trusted cybersecurity partner. This strategic vision focuses on leveraging advanced technologies and innovative practices to deliver comprehensive security solutions that meet the evolving needs of clients across various sectors. The primary business drivers include enhancing operational efficiency, expanding market reach, and solidifying client trust through robust risk management and cutting-edge cybersecurity practices.
The strategic roadmap aims to achieve several key objectives, including the development and implementation of 100 essential security controls, which will significantly reduce the organization's risk exposure. By addressing the current landscape of 23 active risks, Intellfence seeks to transition from a reactive to a proactive security posture. Expected outcomes include improved threat detection, enhanced incident response capabilities, and a streamlined process that aligns with industry best practices and regulatory requirements. These efforts are anticipated to result in increased client satisfaction and business growth.
Despite the absence of a formal gap analysis, the current state indicates a pressing need to address the significant disparity between implemented controls and identified risks. With only 3 out of 100 security controls currently in place, the organization is exposed to vulnerabilities that could impact its operational integrity and client confidence. The roadmap outlines a comprehensive plan to close these gaps, focusing on risk mitigation and the implementation of resilient security frameworks.
A high-level timeline has been established, targeting the completion of control implementation and risk reduction initiatives within 18 months. Success will be measured by a significant reduction in active risks, the full deployment of security controls, and the achievement of compliance with industry standards. Intellfence is committed to this strategic transformation, ensuring long-term value creation and sustained competitive advantage in the cybersecurity landscape.</w:t>
      </w:r>
    </w:p>
    <w:p>
      <w:pPr>
        <w:pStyle w:val="Heading1"/>
        <w:spacing w:before="400" w:after="200"/>
      </w:pPr>
      <w:r>
        <w:t xml:space="preserve">Strategic Vision &amp; Business Context</w:t>
      </w:r>
    </w:p>
    <w:p>
      <w:pPr>
        <w:spacing w:after="200"/>
      </w:pPr>
      <w:r>
        <w:t xml:space="preserve">Strategic vision not defined.</w:t>
      </w:r>
    </w:p>
    <w:p>
      <w:pPr>
        <w:pStyle w:val="Heading1"/>
        <w:spacing w:before="400" w:after="200"/>
      </w:pPr>
      <w:r>
        <w:t xml:space="preserve">Key Objectives &amp; Milestones Timeline</w:t>
      </w:r>
    </w:p>
    <w:p>
      <w:pPr>
        <w:pStyle w:val="Heading1"/>
        <w:spacing w:before="400" w:after="200"/>
      </w:pPr>
      <w:r>
        <w:t xml:space="preserve">KPIs &amp; Success Metrics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2026-01-24T12:11:04.687Z</dcterms:created>
  <dcterms:modified xsi:type="dcterms:W3CDTF">2026-01-24T12:11:04.687Z</dcterms:modified>
</cp:coreProperties>
</file>

<file path=docProps/custom.xml><?xml version="1.0" encoding="utf-8"?>
<Properties xmlns="http://schemas.openxmlformats.org/officeDocument/2006/custom-properties" xmlns:vt="http://schemas.openxmlformats.org/officeDocument/2006/docPropsVTypes"/>
</file>