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Strategic Roadmap Report</w:t>
      </w:r>
    </w:p>
    <w:p>
      <w:pPr>
        <w:spacing w:after="200"/>
        <w:jc w:val="center"/>
      </w:pPr>
      <w:r>
        <w:t xml:space="preserve">Intellfence</w:t>
      </w:r>
    </w:p>
    <w:p>
      <w:pPr>
        <w:spacing w:after="400"/>
        <w:jc w:val="center"/>
      </w:pPr>
      <w:r>
        <w:t xml:space="preserve">January 25, 2026</w:t>
      </w:r>
    </w:p>
    <w:p>
      <w:pPr>
        <w:jc w:val="center"/>
      </w:pPr>
      <w:r>
        <w:t xml:space="preserve">Version: draft</w:t>
      </w:r>
    </w:p>
    <w:p>
      <w:pPr>
        <w:pStyle w:val="Title"/>
        <w:spacing w:after="400"/>
        <w:jc w:val="center"/>
      </w:pPr>
      <w:r>
        <w:t xml:space="preserve">Strategic Roadmap Report</w:t>
      </w:r>
    </w:p>
    <w:p>
      <w:pPr>
        <w:spacing w:after="200"/>
        <w:jc w:val="center"/>
      </w:pPr>
      <w:r>
        <w:t xml:space="preserve">Intellfence</w:t>
      </w:r>
    </w:p>
    <w:p>
      <w:pPr>
        <w:spacing w:after="400"/>
        <w:jc w:val="center"/>
      </w:pPr>
      <w:r>
        <w:t xml:space="preserve">January 25, 2026</w:t>
      </w:r>
    </w:p>
    <w:p>
      <w:pPr>
        <w:jc w:val="center"/>
      </w:pPr>
      <w:r>
        <w:t xml:space="preserve">Version: draft</w:t>
      </w:r>
    </w:p>
    <w:p>
      <w:pPr>
        <w:pStyle w:val="Heading1"/>
        <w:spacing w:before="400" w:after="200"/>
      </w:pPr>
      <w:r>
        <w:t xml:space="preserve">Executive Summary</w:t>
      </w:r>
    </w:p>
    <w:p>
      <w:pPr>
        <w:spacing w:before="100" w:after="100"/>
      </w:pPr>
      <w:r>
        <w:t xml:space="preserve">&lt;!DOCTYPE html&gt;</w:t>
      </w:r>
    </w:p>
    <w:p>
      <w:pPr>
        <w:spacing w:before="100" w:after="100"/>
      </w:pPr>
      <w:r>
        <w:t xml:space="preserve">&lt;html lang="en"&gt;</w:t>
      </w:r>
    </w:p>
    <w:p>
      <w:pPr>
        <w:spacing w:before="100" w:after="100"/>
      </w:pPr>
      <w:r>
        <w:t xml:space="preserve">&lt;head&gt;</w:t>
      </w:r>
    </w:p>
    <w:p>
      <w:pPr>
        <w:spacing w:before="100" w:after="100"/>
      </w:pPr>
      <w:r>
        <w:t xml:space="preserve">&lt;meta charset="UTF-8"&gt;</w:t>
      </w:r>
    </w:p>
    <w:p>
      <w:pPr>
        <w:spacing w:before="100" w:after="100"/>
      </w:pPr>
      <w:r>
        <w:t xml:space="preserve">&lt;title&gt;Executive Summary - Strategic Compliance Roadmap&lt;/title&gt;</w:t>
      </w:r>
    </w:p>
    <w:p>
      <w:pPr>
        <w:spacing w:before="100" w:after="100"/>
      </w:pPr>
      <w:r>
        <w:t xml:space="preserve">&lt;/head&gt;</w:t>
      </w:r>
    </w:p>
    <w:p>
      <w:pPr>
        <w:spacing w:before="100" w:after="100"/>
      </w:pPr>
      <w:r>
        <w:t xml:space="preserve">&lt;body&gt;</w:t>
      </w:r>
    </w:p>
    <w:p>
      <w:pPr>
        <w:spacing w:before="100" w:after="100"/>
      </w:pPr>
      <w:r>
        <w:t xml:space="preserve">&lt;h1&gt;Executive Summary: Strategic Compliance Roadmap for Intellfence&lt;/h1&gt;</w:t>
      </w:r>
    </w:p>
    <w:p>
      <w:pPr>
        <w:spacing w:before="100" w:after="100"/>
      </w:pPr>
      <w:r>
        <w:t xml:space="preserve">&lt;h2&gt;Strategic Health Assessment&lt;/h2&gt;</w:t>
      </w:r>
    </w:p>
    <w:p>
      <w:pPr>
        <w:spacing w:before="100" w:after="100"/>
      </w:pPr>
      <w:r>
        <w:t xml:space="preserve">&lt;p&gt;&lt;strong&gt;Compliance Health Score: Developing&lt;/strong&gt;&lt;/p&gt;</w:t>
      </w:r>
    </w:p>
    <w:p>
      <w:pPr>
        <w:spacing w:before="100" w:after="100"/>
      </w:pPr>
      <w:r>
        <w:t xml:space="preserve">&lt;p&gt;Intellfence currently operates in a developing compliance landscape. The organization demonstrates a solid foundation in cybersecurity with no identified gaps; however, only 3 out of 100 necessary controls are actively implemented. This presents a critical opportunity for Intellfence to enhance its compliance posture and fortify its market position.&lt;/p&gt;</w:t>
      </w:r>
    </w:p>
    <w:p>
      <w:pPr>
        <w:spacing w:before="100" w:after="100"/>
      </w:pPr>
      <w:r>
        <w:t xml:space="preserve">&lt;h2&gt;Critical Business Drivers&lt;/h2&gt;</w:t>
      </w:r>
    </w:p>
    <w:p>
      <w:pPr>
        <w:spacing w:before="100" w:after="100"/>
      </w:pPr>
      <w:r>
        <w:t xml:space="preserve">&lt;p&gt;The urgency of adopting the Strategic Compliance Roadmap cannot be overstated. With 23 active risks, even in the absence of high or critical threats, the potential business impact remains significant. Cybersecurity incidents can lead to reputational damage, financial loss, and potential regulatory penalties. Aligning our strategy with compliance standards will not only mitigate these risks but also propel Intellfence ahead of competitors in the cybersecurity industry.&lt;/p&gt;</w:t>
      </w:r>
    </w:p>
    <w:p>
      <w:pPr>
        <w:spacing w:before="100" w:after="100"/>
      </w:pPr>
      <w:r>
        <w:t xml:space="preserve">&lt;h2&gt;The Path Forward&lt;/h2&gt;</w:t>
      </w:r>
    </w:p>
    <w:p>
      <w:pPr>
        <w:spacing w:before="100" w:after="100"/>
      </w:pPr>
      <w:r>
        <w:t xml:space="preserve">&lt;p&gt;Our roadmap outlines three high-value initiatives that will transform Intellfence's compliance posture:&lt;/p&gt;</w:t>
      </w:r>
    </w:p>
    <w:p>
      <w:pPr>
        <w:spacing w:before="100" w:after="100"/>
      </w:pPr>
      <w:r>
        <w:t xml:space="preserve">&lt;ul&gt;</w:t>
      </w:r>
    </w:p>
    <w:p>
      <w:pPr>
        <w:spacing w:before="100" w:after="100"/>
      </w:pPr>
      <w:r>
        <w:t xml:space="preserve">&lt;li&gt;&lt;strong&gt;Comprehensive Control Activation:&lt;/strong&gt; Accelerate implementation of the remaining 97 controls to achieve robust defense mechanisms and strengthen the organization’s compliance framework.&lt;/li&gt;</w:t>
      </w:r>
    </w:p>
    <w:p>
      <w:pPr>
        <w:spacing w:before="100" w:after="100"/>
      </w:pPr>
      <w:r>
        <w:t xml:space="preserve">&lt;li&gt;&lt;strong&gt;Risk Management Optimization:&lt;/strong&gt; Develop a proactive risk management strategy to continuously monitor and address emerging threats, ensuring resilience and adaptability in a dynamic cyber threat landscape.&lt;/li&gt;</w:t>
      </w:r>
    </w:p>
    <w:p>
      <w:pPr>
        <w:spacing w:before="100" w:after="100"/>
      </w:pPr>
      <w:r>
        <w:t xml:space="preserve">&lt;li&gt;&lt;strong&gt;Compliance Training and Awareness:&lt;/strong&gt; Initiate an organization-wide training program to elevate compliance awareness, ensuring every team member understands and contributes to the compliance objectives.&lt;/li&gt;</w:t>
      </w:r>
    </w:p>
    <w:p>
      <w:pPr>
        <w:spacing w:before="100" w:after="100"/>
      </w:pPr>
      <w:r>
        <w:t xml:space="preserve">&lt;/ul&gt;</w:t>
      </w:r>
    </w:p>
    <w:p>
      <w:pPr>
        <w:spacing w:before="100" w:after="100"/>
      </w:pPr>
      <w:r>
        <w:t xml:space="preserve">&lt;h2&gt;Target Outcomes&lt;/h2&gt;</w:t>
      </w:r>
    </w:p>
    <w:p>
      <w:pPr>
        <w:spacing w:before="100" w:after="100"/>
      </w:pPr>
      <w:r>
        <w:t xml:space="preserve">&lt;p&gt;Upon successful implementation of this roadmap, Intellfence will achieve substantial business value. Expected outcomes include enhanced market mitigation, readiness for industry certifications, and the establishment of a competitive edge through robust, proactive compliance measures. This strategic alignment will position Intellfence not only as a leader in cybersecurity compliance but also as a trusted partner for its clients, fostering long-term growth and sustainability.&lt;/p&gt;</w:t>
      </w:r>
    </w:p>
    <w:p>
      <w:pPr>
        <w:spacing w:before="100" w:after="100"/>
      </w:pPr>
      <w:r>
        <w:t xml:space="preserve">&lt;/body&gt;</w:t>
      </w:r>
    </w:p>
    <w:p>
      <w:pPr>
        <w:spacing w:before="100" w:after="100"/>
      </w:pPr>
      <w:r>
        <w:t xml:space="preserve">&lt;/html&gt;</w:t>
      </w:r>
    </w:p>
    <w:p>
      <w:pPr>
        <w:pStyle w:val="Heading1"/>
        <w:spacing w:before="400" w:after="200"/>
      </w:pPr>
      <w:r>
        <w:t xml:space="preserve">Strategic Vision &amp; Business Context</w:t>
      </w:r>
    </w:p>
    <w:p>
      <w:pPr>
        <w:spacing w:before="100" w:after="200"/>
      </w:pPr>
      <w:r>
        <w:rPr>
          <w:i/>
          <w:iCs/>
        </w:rPr>
        <w:t xml:space="preserve">In the rapidly evolving cybersecurity landscape, Intellfence faces the dual challenge of protecting sensitive information while navigating an increasingly complex regulatory environment. As cyber threats grow more sophisticated, the necessity for a robust compliance strategy becomes critical, ensuring that Intellfence not only safeguards its clients' data but also adheres to industry standards and legal requirements. This strategic vision seeks to align Intellfence's cybersecurity initiatives with its business objectives, reinforcing its commitment to security and compliance excellence.</w:t>
      </w:r>
    </w:p>
    <w:p>
      <w:pPr>
        <w:spacing w:before="100" w:after="100"/>
      </w:pPr>
      <w:r>
        <w:t xml:space="preserve">Comprehensive compliance program implementation</w:t>
      </w:r>
    </w:p>
    <w:p>
      <w:pPr>
        <w:pStyle w:val="Heading3"/>
        <w:spacing w:before="200" w:after="100"/>
      </w:pPr>
      <w:r>
        <w:t xml:space="preserve">Business Context:</w:t>
      </w:r>
    </w:p>
    <w:p>
      <w:pPr>
        <w:spacing w:before="100" w:after="100"/>
        <w:ind w:left="720" w:hanging="360"/>
      </w:pPr>
      <w:r>
        <w:rPr>
          <w:b/>
          <w:bCs/>
          <w:sz w:val="24"/>
          <w:szCs w:val="24"/>
        </w:rPr>
        <w:t xml:space="preserve">• </w:t>
      </w:r>
      <w:r>
        <w:rPr>
          <w:sz w:val="24"/>
          <w:szCs w:val="24"/>
        </w:rPr>
        <w:t xml:space="preserve">Client: Intellfence</w:t>
      </w:r>
    </w:p>
    <w:p>
      <w:pPr>
        <w:spacing w:before="100" w:after="100"/>
        <w:ind w:left="720" w:hanging="360"/>
      </w:pPr>
      <w:r>
        <w:rPr>
          <w:b/>
          <w:bCs/>
          <w:sz w:val="24"/>
          <w:szCs w:val="24"/>
        </w:rPr>
        <w:t xml:space="preserve">• </w:t>
      </w:r>
      <w:r>
        <w:rPr>
          <w:sz w:val="24"/>
          <w:szCs w:val="24"/>
        </w:rPr>
        <w:t xml:space="preserve">Industry: Cybersecurity</w:t>
      </w:r>
    </w:p>
    <w:p>
      <w:pPr>
        <w:spacing w:before="100" w:after="100"/>
        <w:ind w:left="720" w:hanging="360"/>
      </w:pPr>
      <w:r>
        <w:rPr>
          <w:b/>
          <w:bCs/>
          <w:sz w:val="24"/>
          <w:szCs w:val="24"/>
        </w:rPr>
        <w:t xml:space="preserve">• </w:t>
      </w:r>
      <w:r>
        <w:rPr>
          <w:sz w:val="24"/>
          <w:szCs w:val="24"/>
        </w:rPr>
        <w:t xml:space="preserve">Framework: Not specified</w:t>
      </w:r>
    </w:p>
    <w:p>
      <w:pPr>
        <w:spacing w:before="100" w:after="100"/>
        <w:ind w:left="720" w:hanging="360"/>
      </w:pPr>
      <w:r>
        <w:rPr>
          <w:b/>
          <w:bCs/>
          <w:sz w:val="24"/>
          <w:szCs w:val="24"/>
        </w:rPr>
        <w:t xml:space="preserve">• </w:t>
      </w:r>
      <w:r>
        <w:rPr>
          <w:sz w:val="24"/>
          <w:szCs w:val="24"/>
        </w:rPr>
        <w:t xml:space="preserve">Risks Identified: 23</w:t>
      </w:r>
    </w:p>
    <w:p>
      <w:pPr>
        <w:spacing w:before="100" w:after="100"/>
        <w:ind w:left="720" w:hanging="360"/>
      </w:pPr>
      <w:r>
        <w:rPr>
          <w:b/>
          <w:bCs/>
          <w:sz w:val="24"/>
          <w:szCs w:val="24"/>
        </w:rPr>
        <w:t xml:space="preserve">• </w:t>
      </w:r>
      <w:r>
        <w:rPr>
          <w:sz w:val="24"/>
          <w:szCs w:val="24"/>
        </w:rPr>
        <w:t xml:space="preserve">Controls: 100</w:t>
      </w:r>
    </w:p>
    <w:p>
      <w:pPr>
        <w:spacing w:before="100" w:after="100"/>
        <w:ind w:left="720" w:hanging="360"/>
      </w:pPr>
      <w:r>
        <w:rPr>
          <w:b/>
          <w:bCs/>
          <w:sz w:val="24"/>
          <w:szCs w:val="24"/>
        </w:rPr>
        <w:t xml:space="preserve">• </w:t>
      </w:r>
      <w:r>
        <w:rPr>
          <w:sz w:val="24"/>
          <w:szCs w:val="24"/>
        </w:rPr>
        <w:t xml:space="preserve">Policies: 4</w:t>
      </w:r>
    </w:p>
    <w:p>
      <w:pPr>
        <w:pStyle w:val="Heading1"/>
        <w:spacing w:before="400" w:after="200"/>
      </w:pPr>
      <w:r>
        <w:t xml:space="preserve">Key Objectives &amp; Milestones Timeline</w:t>
      </w:r>
    </w:p>
    <w:p>
      <w:pPr>
        <w:spacing w:before="100" w:after="200"/>
      </w:pPr>
      <w:r>
        <w:rPr>
          <w:i/>
          <w:iCs/>
        </w:rPr>
        <w:t xml:space="preserve">This section outlines the critical objectives and milestones that Intellfence must achieve to ensure compliance and enhance operational maturity within the cybersecurity landscape. By strategically aligning these goals with industry standards, Intellfence can effectively fortify its defenses and maintain a robust security posture.</w:t>
      </w:r>
    </w:p>
    <w:p>
      <w:pPr>
        <w:pStyle w:val="Heading2"/>
        <w:spacing w:before="200" w:after="100"/>
      </w:pPr>
      <w:r>
        <w:t xml:space="preserve">Strategic Objectives</w:t>
      </w:r>
    </w:p>
    <w:p>
      <w:pPr>
        <w:spacing w:before="50" w:after="50"/>
        <w:ind w:left="720" w:hanging="360"/>
      </w:pPr>
      <w:r>
        <w:rPr>
          <w:b/>
          <w:bCs/>
          <w:sz w:val="24"/>
          <w:szCs w:val="24"/>
        </w:rPr>
        <w:t xml:space="preserve">• </w:t>
      </w:r>
      <w:r>
        <w:rPr>
          <w:sz w:val="24"/>
          <w:szCs w:val="24"/>
        </w:rPr>
        <w:t xml:space="preserve">Establish governance framework</w:t>
      </w:r>
    </w:p>
    <w:p>
      <w:pPr>
        <w:spacing w:before="50" w:after="50"/>
        <w:ind w:left="720" w:hanging="360"/>
      </w:pPr>
      <w:r>
        <w:rPr>
          <w:b/>
          <w:bCs/>
          <w:sz w:val="24"/>
          <w:szCs w:val="24"/>
        </w:rPr>
        <w:t xml:space="preserve">• </w:t>
      </w:r>
      <w:r>
        <w:rPr>
          <w:sz w:val="24"/>
          <w:szCs w:val="24"/>
        </w:rPr>
        <w:t xml:space="preserve">Implement key controls</w:t>
      </w:r>
    </w:p>
    <w:p>
      <w:pPr>
        <w:spacing w:before="50" w:after="50"/>
        <w:ind w:left="720" w:hanging="360"/>
      </w:pPr>
      <w:r>
        <w:rPr>
          <w:b/>
          <w:bCs/>
          <w:sz w:val="24"/>
          <w:szCs w:val="24"/>
        </w:rPr>
        <w:t xml:space="preserve">• </w:t>
      </w:r>
      <w:r>
        <w:rPr>
          <w:sz w:val="24"/>
          <w:szCs w:val="24"/>
        </w:rPr>
        <w:t xml:space="preserve">Achieve target compliance score</w:t>
      </w:r>
    </w:p>
    <w:p>
      <w:pPr>
        <w:pStyle w:val="Heading2"/>
        <w:spacing w:before="300" w:after="100"/>
      </w:pPr>
      <w:r>
        <w:t xml:space="preserve">Target Timeline</w:t>
      </w:r>
    </w:p>
    <w:p>
      <w:pPr>
        <w:pStyle w:val="Heading1"/>
        <w:spacing w:before="400" w:after="200"/>
      </w:pPr>
      <w:r>
        <w:t xml:space="preserve">KPIs &amp; Success Metrics</w:t>
      </w:r>
    </w:p>
    <w:p>
      <w:pPr>
        <w:pStyle w:val="Heading1"/>
        <w:spacing w:before="400" w:after="200"/>
      </w:pPr>
      <w:r>
        <w:t xml:space="preserve">Risk Appetite &amp; Compliance Drivers</w:t>
      </w:r>
    </w:p>
    <w:p>
      <w:pPr>
        <w:spacing w:before="100" w:after="200"/>
      </w:pPr>
      <w:r>
        <w:rPr>
          <w:i/>
          <w:iCs/>
        </w:rPr>
        <w:t xml:space="preserve">In this section, we will examine Intellfence's risk appetite in the context of its cybersecurity operations, focusing on how it aligns with organizational objectives and industry standards. We will also explore the external compliance drivers that shape and influence this risk posture, highlighting the necessity for a strategic roadmap to navigate the evolving cybersecurity landscape effectively.</w:t>
      </w:r>
    </w:p>
    <w:p>
      <w:pPr>
        <w:pStyle w:val="Heading3"/>
        <w:spacing w:before="200" w:after="100"/>
      </w:pPr>
      <w:r>
        <w:t xml:space="preserve">Risk Analysis Summary:</w:t>
      </w:r>
    </w:p>
    <w:p>
      <w:pPr>
        <w:spacing w:before="100" w:after="100"/>
        <w:ind w:left="720" w:hanging="360"/>
      </w:pPr>
      <w:r>
        <w:rPr>
          <w:b/>
          <w:bCs/>
          <w:sz w:val="24"/>
          <w:szCs w:val="24"/>
        </w:rPr>
        <w:t xml:space="preserve">• </w:t>
      </w:r>
      <w:r>
        <w:rPr>
          <w:sz w:val="24"/>
          <w:szCs w:val="24"/>
        </w:rPr>
        <w:t xml:space="preserve">Total Risks Identified: 23</w:t>
      </w:r>
    </w:p>
    <w:p>
      <w:pPr>
        <w:spacing w:before="100" w:after="100"/>
        <w:ind w:left="720" w:hanging="360"/>
      </w:pPr>
      <w:r>
        <w:rPr>
          <w:b/>
          <w:bCs/>
          <w:sz w:val="24"/>
          <w:szCs w:val="24"/>
        </w:rPr>
        <w:t xml:space="preserve">• </w:t>
      </w:r>
      <w:r>
        <w:rPr>
          <w:sz w:val="24"/>
          <w:szCs w:val="24"/>
        </w:rPr>
        <w:t xml:space="preserve">High / Critical Risks: 14</w:t>
      </w:r>
    </w:p>
    <w:p>
      <w:pPr>
        <w:spacing w:before="100" w:after="100"/>
        <w:ind w:left="720" w:hanging="360"/>
      </w:pPr>
      <w:r>
        <w:rPr>
          <w:b/>
          <w:bCs/>
          <w:sz w:val="24"/>
          <w:szCs w:val="24"/>
        </w:rPr>
        <w:t xml:space="preserve">• </w:t>
      </w:r>
      <w:r>
        <w:rPr>
          <w:sz w:val="24"/>
          <w:szCs w:val="24"/>
        </w:rPr>
        <w:t xml:space="preserve">Controls Implemented: 3 of 100</w:t>
      </w:r>
    </w:p>
    <w:p>
      <w:pPr>
        <w:spacing w:before="100" w:after="100"/>
        <w:ind w:left="720" w:hanging="360"/>
      </w:pPr>
      <w:r>
        <w:rPr>
          <w:b/>
          <w:bCs/>
          <w:sz w:val="24"/>
          <w:szCs w:val="24"/>
        </w:rPr>
        <w:t xml:space="preserve">• </w:t>
      </w:r>
      <w:r>
        <w:rPr>
          <w:sz w:val="24"/>
          <w:szCs w:val="24"/>
        </w:rPr>
        <w:t xml:space="preserve">Implementation Rate: 3%</w:t>
      </w:r>
    </w:p>
    <w:p>
      <w:pPr>
        <w:pStyle w:val="Heading3"/>
        <w:spacing w:before="200" w:after="100"/>
      </w:pPr>
      <w:r>
        <w:t xml:space="preserve">Compliance Drivers:</w:t>
      </w:r>
    </w:p>
    <w:p>
      <w:pPr>
        <w:spacing w:before="100" w:after="100"/>
        <w:ind w:left="720" w:hanging="360"/>
      </w:pPr>
      <w:r>
        <w:t xml:space="preserve">1. Regulatory Requirements: Industry standards</w:t>
      </w:r>
    </w:p>
    <w:p>
      <w:pPr>
        <w:spacing w:before="100" w:after="100"/>
        <w:ind w:left="720" w:hanging="360"/>
      </w:pPr>
      <w:r>
        <w:t xml:space="preserve">2. Business Objectives: Establish governance framework, Implement key controls, Achieve target compliance score</w:t>
      </w:r>
    </w:p>
    <w:p>
      <w:pPr>
        <w:spacing w:before="100" w:after="100"/>
        <w:ind w:left="720" w:hanging="360"/>
      </w:pPr>
      <w:r>
        <w:t xml:space="preserve">3. Risk Mitigation: Focus on 14 high - priority risks</w:t>
      </w:r>
    </w:p>
    <w:p>
      <w:pPr>
        <w:spacing w:before="100" w:after="100"/>
        <w:ind w:left="720" w:hanging="360"/>
      </w:pPr>
      <w:r>
        <w:t xml:space="preserve">4. Control Implementation: Achieve target compliance through control deployment</w:t>
      </w:r>
    </w:p>
    <w:p>
      <w:pPr>
        <w:pStyle w:val="Heading3"/>
        <w:spacing w:before="200" w:after="100"/>
      </w:pPr>
      <w:r>
        <w:t xml:space="preserve">Risk Appetite Statement:</w:t>
      </w:r>
    </w:p>
    <w:p>
      <w:pPr>
        <w:spacing w:before="100" w:after="100"/>
      </w:pPr>
      <w:r>
        <w:t xml:space="preserve">The organization should maintain a moderate risk appetite, focusing on mitigating critical risks while implementing essential controls to achieve compliance with relevant frameworks.</w:t>
      </w:r>
    </w:p>
    <w:p>
      <w:pPr>
        <w:pStyle w:val="Heading1"/>
        <w:spacing w:before="400" w:after="200"/>
      </w:pPr>
      <w:r>
        <w:t xml:space="preserve">Implementation Plan</w:t>
      </w:r>
    </w:p>
    <w:p>
      <w:pPr>
        <w:spacing w:after="200"/>
      </w:pPr>
      <w:r>
        <w:rPr>
          <w:i/>
          <w:iCs/>
        </w:rPr>
        <w:t xml:space="preserve">The Implementation Plan for Intellfence serves as a comprehensive guide to transition from strategic planning to effective execution, ensuring a seamless integration of cybersecurity initiatives. This section outlines a structured approach to remediation, detailing the necessary steps, resources, and timelines required to enhance the organization's security posture and achieve the desired outcomes.</w:t>
      </w:r>
    </w:p>
    <w:p>
      <w:pPr>
        <w:pStyle w:val="Heading1"/>
        <w:spacing w:before="400" w:after="200"/>
      </w:pPr>
      <w:r>
        <w:t xml:space="preserve">Resource Allocation</w:t>
      </w:r>
    </w:p>
    <w:p>
      <w:pPr>
        <w:spacing w:after="200"/>
      </w:pPr>
      <w:r>
        <w:rPr>
          <w:i/>
          <w:iCs/>
        </w:rPr>
        <w:t xml:space="preserve">In the rapidly evolving field of cybersecurity, strategic resource allocation is critical to maintaining a competitive edge and ensuring robust protection against emerging threats. For Intellfence, investing in the right resources is not just a necessity but a pivotal component of achieving long-term success and operational excellence. The following section outlines key resource requirements that are essential investments to support the company's strategic objectives and enhance its cybersecurity capabilities.</w:t>
      </w:r>
    </w:p>
    <w:p>
      <w:r>
        <w:t xml:space="preserve">Resource allocation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2026-01-25T14:19:49.435Z</dcterms:created>
  <dcterms:modified xsi:type="dcterms:W3CDTF">2026-01-25T14:19:49.435Z</dcterms:modified>
</cp:coreProperties>
</file>

<file path=docProps/custom.xml><?xml version="1.0" encoding="utf-8"?>
<Properties xmlns="http://schemas.openxmlformats.org/officeDocument/2006/custom-properties" xmlns:vt="http://schemas.openxmlformats.org/officeDocument/2006/docPropsVTypes"/>
</file>