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Strategic Roadmap Report</w:t>
      </w:r>
    </w:p>
    <w:p>
      <w:pPr>
        <w:spacing w:after="200"/>
        <w:jc w:val="center"/>
      </w:pPr>
      <w:r>
        <w:t xml:space="preserve">Intellfence</w:t>
      </w:r>
    </w:p>
    <w:p>
      <w:pPr>
        <w:spacing w:after="400"/>
        <w:jc w:val="center"/>
      </w:pPr>
      <w:r>
        <w:t xml:space="preserve">January 25, 2026</w:t>
      </w:r>
    </w:p>
    <w:p>
      <w:pPr>
        <w:jc w:val="center"/>
      </w:pPr>
      <w:r>
        <w:t xml:space="preserve">Version: draft</w:t>
      </w:r>
    </w:p>
    <w:p>
      <w:pPr>
        <w:pStyle w:val="Title"/>
        <w:spacing w:after="400"/>
        <w:jc w:val="center"/>
      </w:pPr>
      <w:r>
        <w:t xml:space="preserve">Strategic Roadmap Report</w:t>
      </w:r>
    </w:p>
    <w:p>
      <w:pPr>
        <w:spacing w:after="200"/>
        <w:jc w:val="center"/>
      </w:pPr>
      <w:r>
        <w:t xml:space="preserve">Intellfence</w:t>
      </w:r>
    </w:p>
    <w:p>
      <w:pPr>
        <w:spacing w:after="400"/>
        <w:jc w:val="center"/>
      </w:pPr>
      <w:r>
        <w:t xml:space="preserve">January 25, 2026</w:t>
      </w:r>
    </w:p>
    <w:p>
      <w:pPr>
        <w:jc w:val="center"/>
      </w:pPr>
      <w:r>
        <w:t xml:space="preserve">Version: draft</w:t>
      </w:r>
    </w:p>
    <w:p>
      <w:pPr>
        <w:pStyle w:val="Heading1"/>
        <w:spacing w:before="400" w:after="200"/>
      </w:pPr>
      <w:r>
        <w:t xml:space="preserve">Executive Summary</w:t>
      </w:r>
    </w:p>
    <w:p>
      <w:pPr>
        <w:spacing w:after="200"/>
      </w:pPr>
      <w:r>
        <w:t xml:space="preserve">**Executive Summary**
Intellfence, a dynamic player in the cybersecurity industry, is embarking on a pivotal journey with the implementation of a Strategic Compliance Roadmap. This initiative aims to establish a robust and comprehensive compliance program, ensuring the organization not only meets regulatory requirements but also solidifies its position as a trusted leader in cybersecurity solutions. The primary business driver for this roadmap is the growing need for enhanced security measures amidst an evolving threat landscape, which demands rigorous compliance protocols to safeguard client data and bolster organizational reputation.
The roadmap outlines three key objectives: the establishment of a governance framework, the implementation of critical controls, and the achievement of a target compliance score. These objectives are designed to elevate Intellfence's compliance standards and operational efficiency. By focusing on these areas, Intellfence will mitigate potential risks, enhance its cybersecurity posture, and provide assurance to stakeholders regarding its commitment to security and compliance.
Currently, Intellfence's compliance posture reveals significant gaps and challenges. The gap analysis surprisingly identified zero items, suggesting potential oversight, while risk assessments highlight 23 active risks that need immediate attention. Moreover, with only 3 of the 100 necessary controls implemented, the organization must accelerate its efforts to address these deficiencies. This roadmap will prioritize closing these gaps and mitigating existing risks to ensure a fortified defense against cyber threats.
The strategic roadmap envisions a phased approach to achieving compliance excellence, with success measured by the implementation of all 100 controls and the substantial reduction of active risks. While specific timelines are yet to be determined, the commitment to swiftly advancing these initiatives is paramount. The ultimate success of this roadmap will be defined by Intellfence's ability to not only meet compliance standards but to exceed them, thereby reinforcing its leadership in the cybersecurity domain and ensuring long-term business resilience.</w:t>
      </w:r>
    </w:p>
    <w:p>
      <w:pPr>
        <w:pStyle w:val="Heading1"/>
        <w:spacing w:before="400" w:after="200"/>
      </w:pPr>
      <w:r>
        <w:t xml:space="preserve">Strategic Vision &amp; Business Context</w:t>
      </w:r>
    </w:p>
    <w:p>
      <w:pPr>
        <w:spacing w:after="200"/>
      </w:pPr>
      <w:r>
        <w:t xml:space="preserve">Comprehensive compliance program implementation
Business Context:
• Client: Intellfence
• Industry: Cybersecurity
• Framework: Not specified
• Risks Identified: 23
• Controls: 100
• Policies: 4</w:t>
      </w:r>
    </w:p>
    <w:p>
      <w:pPr>
        <w:pStyle w:val="Heading1"/>
        <w:spacing w:before="400" w:after="200"/>
      </w:pPr>
      <w:r>
        <w:t xml:space="preserve">Key Objectives &amp; Milestones Timeline</w:t>
      </w:r>
    </w:p>
    <w:p>
      <w:pPr>
        <w:pStyle w:val="Heading2"/>
        <w:spacing w:before="200" w:after="100"/>
      </w:pPr>
      <w:r>
        <w:t xml:space="preserve">Strategic Objectives:</w:t>
      </w:r>
    </w:p>
    <w:p>
      <w:pPr>
        <w:spacing w:after="50"/>
      </w:pPr>
      <w:r>
        <w:t xml:space="preserve">1. Establish governance framework</w:t>
      </w:r>
    </w:p>
    <w:p>
      <w:pPr>
        <w:spacing w:after="50"/>
      </w:pPr>
      <w:r>
        <w:t xml:space="preserve">2. Implement key controls</w:t>
      </w:r>
    </w:p>
    <w:p>
      <w:pPr>
        <w:spacing w:after="50"/>
      </w:pPr>
      <w:r>
        <w:t xml:space="preserve">3. Achieve target compliance score</w:t>
      </w:r>
    </w:p>
    <w:p>
      <w:pPr>
        <w:spacing w:after="100"/>
      </w:pPr>
      <w:r>
        <w:t xml:space="preserve">No milestones defined for this roadmap.</w:t>
      </w:r>
    </w:p>
    <w:p>
      <w:pPr>
        <w:pStyle w:val="Heading1"/>
        <w:spacing w:before="400" w:after="200"/>
      </w:pPr>
      <w:r>
        <w:t xml:space="preserve">KPIs &amp; Success Metrics</w:t>
      </w:r>
    </w:p>
    <w:p>
      <w:pPr>
        <w:pStyle w:val="Heading1"/>
        <w:spacing w:before="400" w:after="200"/>
      </w:pPr>
      <w:r>
        <w:t xml:space="preserve">Implementation Plan</w:t>
      </w:r>
    </w:p>
    <w:p>
      <w:pPr>
        <w:spacing w:after="200"/>
      </w:pPr>
      <w:r>
        <w:t xml:space="preserve">Implementation plan details will be rendered here.</w:t>
      </w:r>
    </w:p>
    <w:p>
      <w:pPr>
        <w:pStyle w:val="Heading1"/>
        <w:spacing w:before="400" w:after="200"/>
      </w:pPr>
      <w:r>
        <w:t xml:space="preserve">Risk Appetite &amp; Compliance Drivers</w:t>
      </w:r>
    </w:p>
    <w:p>
      <w:pPr>
        <w:spacing w:after="200"/>
      </w:pPr>
      <w:r>
        <w:t xml:space="preserve">Risk Analysis Summary:
• Total Risks Identified: 23
• High/Critical Risks: 14
• Controls Implemented: 3 of 100
• Implementation Rate: 3%
Compliance Drivers:
1. Regulatory Requirements: Industry standards
2. Business Objectives: Establish governance framework, Implement key controls, Achieve target compliance score
3. Risk Mitigation: Focus on 14 high-priority risks
4. Control Implementation: Achieve target compliance through control deployment
Risk Appetite Statement:
The organization should maintain a moderate risk appetite, focusing on mitigating critical risks while implementing essential controls to achieve compliance with relevant frameworks.</w:t>
      </w:r>
    </w:p>
    <w:p>
      <w:pPr>
        <w:pStyle w:val="Heading1"/>
        <w:spacing w:before="400" w:after="200"/>
      </w:pPr>
      <w:r>
        <w:t xml:space="preserve">Resource Allocation &amp; Budget</w:t>
      </w:r>
    </w:p>
    <w:p>
      <w:pPr>
        <w:spacing w:after="200"/>
      </w:pPr>
      <w:r>
        <w:t xml:space="preserve">Resource Allocation Analysis:
Estimated Requirements:
• Total Tasks: 0
• Estimated Effort: 0 hours
• Estimated Cost: $0
• Average Cost per Task: $0
Key Resource Considerations:
1. Personnel: Dedicated compliance team members or consultants
2. Technology: Tools for monitoring, documentation, and automation
3. Training: Staff education and awareness programs
4. External Services: Audit, consulting, and certification services
Budget Allocation Recommendations:
• High Priority (40%): Risk mitigation and critical control implementation
• Medium Priority (35%): Process documentation and policy development
• Low Priority (25%): Optional enhancements and future roadmap items
Resource Timeline:
• Phase 1 (Months 1-3): Foundation setup and high-priority controls
• Phase 2 (Months 4-6): Policy development and staff training
• Phase 3 (Months 7-12): Full implementation and audit preparation</w:t>
      </w:r>
    </w:p>
    <w:p>
      <w:pPr>
        <w:pStyle w:val="Heading1"/>
        <w:spacing w:before="400" w:after="200"/>
      </w:pPr>
      <w:r>
        <w:t xml:space="preserve">Governance &amp; Oversight</w:t>
      </w:r>
    </w:p>
    <w:p>
      <w:pPr>
        <w:spacing w:after="200"/>
      </w:pPr>
      <w:r>
        <w:t xml:space="preserve">Governance Framework Analysis:
Current State:
• Total Policies: 4
• Approved Policies: 1
• Draft Policies: 3
• Approval Rate: 25%
• Framework: Not specified
Recommended Governance Structure:
1. Steering Committee: Executive oversight and strategic direction
2. Compliance Officer: Day-to-day management and monitoring
3. Working Groups: Subject matter experts for specific domains
4. Internal Audit: Independent verification and validation
Key Oversight Mechanisms:
• Monthly compliance reviews and reporting
• Quarterly risk assessment updates
• Annual policy review and approval cycles
• Bi-annual training and awareness program reviews
• Incident response and breach management procedures
Success Metrics:
• Policy adoption rate: Target &gt;90%
• Risk reduction: Target 25% year-over-year
• Control effectiveness: Target &gt;95% implementation
• Audit findings: Target &lt;5 critical findings per audit
• Stakeholder satisfaction: Target &gt;85% satisfaction rate</w:t>
      </w:r>
    </w:p>
    <w:p>
      <w:pPr>
        <w:pStyle w:val="Heading1"/>
        <w:spacing w:before="400" w:after="200"/>
      </w:pPr>
      <w:r>
        <w:t xml:space="preserve">Appendix</w:t>
      </w:r>
    </w:p>
    <w:p>
      <w:pPr>
        <w:pStyle w:val="Heading2"/>
        <w:spacing w:before="200" w:after="100"/>
      </w:pPr>
      <w:r>
        <w:t xml:space="preserve">Gap Analysis Results</w:t>
      </w:r>
    </w:p>
    <w:p>
      <w:pPr>
        <w:pStyle w:val="Heading2"/>
        <w:spacing w:before="200" w:after="100"/>
      </w:pPr>
      <w:r>
        <w:t xml:space="preserve">Risk Assessment Findings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2026-01-24T23:00:31.864Z</dcterms:created>
  <dcterms:modified xsi:type="dcterms:W3CDTF">2026-01-24T23:00:31.864Z</dcterms:modified>
</cp:coreProperties>
</file>

<file path=docProps/custom.xml><?xml version="1.0" encoding="utf-8"?>
<Properties xmlns="http://schemas.openxmlformats.org/officeDocument/2006/custom-properties" xmlns:vt="http://schemas.openxmlformats.org/officeDocument/2006/docPropsVTypes"/>
</file>