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400" w:after="80"/>
      </w:pPr>
      <w:r>
        <w:rPr>
          <w:rFonts w:ascii="Arial" w:cs="Arial" w:eastAsia="Arial" w:hAnsi="Arial"/>
          <w:b/>
          <w:bCs/>
          <w:color w:val="4f46e5"/>
          <w:sz w:val="52"/>
          <w:szCs w:val="52"/>
        </w:rPr>
        <w:t xml:space="preserve">SECURE</w:t>
      </w:r>
    </w:p>
    <w:p>
      <w:pPr>
        <w:spacing w:before="0" w:after="80"/>
      </w:pPr>
      <w:r>
        <w:rPr>
          <w:rFonts w:ascii="Arial" w:cs="Arial" w:eastAsia="Arial" w:hAnsi="Arial"/>
          <w:color w:val="6b7280"/>
          <w:sz w:val="28"/>
          <w:szCs w:val="28"/>
        </w:rPr>
        <w:t xml:space="preserve">Building Data Platform</w:t>
      </w:r>
    </w:p>
    <w:p>
      <w:pPr>
        <w:pBdr>
          <w:bottom w:val="single" w:color="4f46e5" w:sz="6" w:space="4"/>
        </w:pBdr>
        <w:spacing w:before="0" w:after="200"/>
      </w:pPr>
      <w:r>
        <w:rPr>
          <w:rFonts w:ascii="Arial" w:cs="Arial" w:eastAsia="Arial" w:hAnsi="Arial"/>
          <w:b/>
          <w:bCs/>
          <w:color w:val="1a1a2e"/>
          <w:sz w:val="36"/>
          <w:szCs w:val="36"/>
        </w:rPr>
        <w:t xml:space="preserve">Emissions Engine — Engineering Specification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4f46e5" w:val="clear"/>
            <w:tcMar>
              <w:top w:type="dxa" w:w="100"/>
              <w:left w:type="dxa" w:w="150"/>
              <w:bottom w:type="dxa" w:w="100"/>
              <w:right w:type="dxa" w:w="150"/>
            </w:tcMar>
          </w:tcPr>
          <w:p>
            <w:r>
              <w:rPr>
                <w:rFonts w:ascii="Arial" w:cs="Arial" w:eastAsia="Arial" w:hAnsi="Arial"/>
                <w:b/>
                <w:bCs/>
                <w:color w:val="FFFFFF"/>
                <w:sz w:val="18"/>
                <w:szCs w:val="18"/>
              </w:rPr>
              <w:t xml:space="preserve">Status</w:t>
            </w:r>
          </w:p>
        </w:tc>
        <w:tc>
          <w:tcPr>
            <w:tcW w:type="dxa" w:w="2340"/>
            <w:tcBorders>
              <w:top w:val="single" w:color="d1d5db" w:sz="1"/>
              <w:left w:val="single" w:color="d1d5db" w:sz="1"/>
              <w:bottom w:val="single" w:color="d1d5db" w:sz="1"/>
              <w:right w:val="single" w:color="d1d5db" w:sz="1"/>
            </w:tcBorders>
            <w:shd w:fill="4f46e5" w:val="clear"/>
            <w:tcMar>
              <w:top w:type="dxa" w:w="100"/>
              <w:left w:type="dxa" w:w="150"/>
              <w:bottom w:type="dxa" w:w="100"/>
              <w:right w:type="dxa" w:w="150"/>
            </w:tcMar>
          </w:tcPr>
          <w:p>
            <w:r>
              <w:rPr>
                <w:rFonts w:ascii="Arial" w:cs="Arial" w:eastAsia="Arial" w:hAnsi="Arial"/>
                <w:b/>
                <w:bCs/>
                <w:color w:val="FFFFFF"/>
                <w:sz w:val="18"/>
                <w:szCs w:val="18"/>
              </w:rPr>
              <w:t xml:space="preserve">Date</w:t>
            </w:r>
          </w:p>
        </w:tc>
        <w:tc>
          <w:tcPr>
            <w:tcW w:type="dxa" w:w="2340"/>
            <w:tcBorders>
              <w:top w:val="single" w:color="d1d5db" w:sz="1"/>
              <w:left w:val="single" w:color="d1d5db" w:sz="1"/>
              <w:bottom w:val="single" w:color="d1d5db" w:sz="1"/>
              <w:right w:val="single" w:color="d1d5db" w:sz="1"/>
            </w:tcBorders>
            <w:shd w:fill="4f46e5" w:val="clear"/>
            <w:tcMar>
              <w:top w:type="dxa" w:w="100"/>
              <w:left w:type="dxa" w:w="150"/>
              <w:bottom w:type="dxa" w:w="100"/>
              <w:right w:type="dxa" w:w="150"/>
            </w:tcMar>
          </w:tcPr>
          <w:p>
            <w:r>
              <w:rPr>
                <w:rFonts w:ascii="Arial" w:cs="Arial" w:eastAsia="Arial" w:hAnsi="Arial"/>
                <w:b/>
                <w:bCs/>
                <w:color w:val="FFFFFF"/>
                <w:sz w:val="18"/>
                <w:szCs w:val="18"/>
              </w:rPr>
              <w:t xml:space="preserve">Owner</w:t>
            </w:r>
          </w:p>
        </w:tc>
        <w:tc>
          <w:tcPr>
            <w:tcW w:type="dxa" w:w="2340"/>
            <w:tcBorders>
              <w:top w:val="single" w:color="d1d5db" w:sz="1"/>
              <w:left w:val="single" w:color="d1d5db" w:sz="1"/>
              <w:bottom w:val="single" w:color="d1d5db" w:sz="1"/>
              <w:right w:val="single" w:color="d1d5db" w:sz="1"/>
            </w:tcBorders>
            <w:shd w:fill="4f46e5" w:val="clear"/>
            <w:tcMar>
              <w:top w:type="dxa" w:w="100"/>
              <w:left w:type="dxa" w:w="150"/>
              <w:bottom w:type="dxa" w:w="100"/>
              <w:right w:type="dxa" w:w="150"/>
            </w:tcMar>
          </w:tcPr>
          <w:p>
            <w:r>
              <w:rPr>
                <w:rFonts w:ascii="Arial" w:cs="Arial" w:eastAsia="Arial" w:hAnsi="Arial"/>
                <w:b/>
                <w:bCs/>
                <w:color w:val="FFFFFF"/>
                <w:sz w:val="18"/>
                <w:szCs w:val="18"/>
              </w:rPr>
              <w:t xml:space="preserve">Repo</w:t>
            </w:r>
          </w:p>
        </w:tc>
      </w:tr>
      <w:tr>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18"/>
                <w:szCs w:val="18"/>
              </w:rPr>
              <w:t xml:space="preserve">DRAFT v1.0</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18"/>
                <w:szCs w:val="18"/>
              </w:rPr>
              <w:t xml:space="preserve">March 2026</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18"/>
                <w:szCs w:val="18"/>
              </w:rPr>
              <w:t xml:space="preserve">Anne</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18"/>
                <w:szCs w:val="18"/>
              </w:rPr>
              <w:t xml:space="preserve">Secure-SoR-backend</w:t>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3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Relationship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 Library Spec v4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secure-data-library-spec-v4.docx</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of activity data taxonomy and confidence model</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Emissions Engine Mapping v1</w:t>
            </w:r>
          </w:p>
        </w:tc>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docs/sources/Secure_Emissions_Engine_Mapping_v1.md</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Canonical Activity → Scope mapping matrix (this spec formalises it)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Emissions Engine Schema Draft v1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docs/sources/Secure_Emissions_Engine_Schema_Draft_v1.md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DB schema draft (formalised in §5 of this spec)</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Emissions Calculated Page Handoff v1</w:t>
            </w:r>
          </w:p>
        </w:tc>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docs/sources/Secure_Emissions_Calculated_Page_Engineering_Handoff_v1.md</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Frontend data contracts and component hierarchy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KPI Coverage Logic Spec v1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docs/sources/Secure_KPI_Coverage_Logic_Spec_v1.md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Coverage Engine; double-counting rules</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Coverage &amp; Applicability for Agent</w:t>
            </w:r>
          </w:p>
        </w:tc>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docs/architecture/coverage-and-applicability-for-agent.md</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Property utility applicability and service charge inclusion rules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Architecture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docs/architecture/architecture.md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Supabase Phase 1 / Azure Phase 2 context</w:t>
            </w:r>
          </w:p>
        </w:tc>
      </w:tr>
    </w:tbl>
    <w:p>
      <w:pPr>
        <w:spacing w:before="60" w:after="6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§0  Purpose &amp; Philosophy</w:t>
      </w:r>
    </w:p>
    <w:p>
      <w:pPr>
        <w:pStyle w:val="Heading2"/>
        <w:spacing w:before="280" w:after="120"/>
      </w:pPr>
      <w:r>
        <w:rPr>
          <w:rFonts w:ascii="Arial" w:cs="Arial" w:eastAsia="Arial" w:hAnsi="Arial"/>
          <w:b/>
          <w:bCs/>
          <w:color w:val="4f46e5"/>
          <w:sz w:val="22"/>
          <w:szCs w:val="22"/>
        </w:rPr>
        <w:t xml:space="preserve">0.1  What the Emissions Engine Is</w:t>
      </w:r>
    </w:p>
    <w:p>
      <w:pPr>
        <w:spacing w:before="80" w:after="80"/>
      </w:pPr>
      <w:r>
        <w:rPr>
          <w:rFonts w:ascii="Arial" w:cs="Arial" w:eastAsia="Arial" w:hAnsi="Arial"/>
          <w:sz w:val="20"/>
          <w:szCs w:val="20"/>
        </w:rPr>
        <w:t xml:space="preserve">The Emissions Engine is an internal Secure service that reads approved activity data from data_library_records and writes derived greenhouse gas emission records back into data_library_records with subject_category = emissions_*. It is not a user-facing input surface. It is the calculation layer between activity data (what happened) and reported emissions (what it means in tCO2e).</w:t>
      </w:r>
    </w:p>
    <w:p>
      <w:pPr>
        <w:spacing w:before="80" w:after="80"/>
      </w:pPr>
      <w:r>
        <w:rPr>
          <w:rFonts w:ascii="Arial" w:cs="Arial" w:eastAsia="Arial" w:hAnsi="Arial"/>
          <w:sz w:val="20"/>
          <w:szCs w:val="20"/>
        </w:rPr>
        <w:t xml:space="preserve">The engine is deterministic: given the same activity records and the same emission factor set, it will always produce the same result. Every result is versioned, traceable to its source activity records and evidence, and never modifiable by a user.</w:t>
      </w:r>
    </w:p>
    <w:p>
      <w:pPr>
        <w:pStyle w:val="Heading2"/>
        <w:spacing w:before="280" w:after="120"/>
      </w:pPr>
      <w:r>
        <w:rPr>
          <w:rFonts w:ascii="Arial" w:cs="Arial" w:eastAsia="Arial" w:hAnsi="Arial"/>
          <w:b/>
          <w:bCs/>
          <w:color w:val="4f46e5"/>
          <w:sz w:val="22"/>
          <w:szCs w:val="22"/>
        </w:rPr>
        <w:t xml:space="preserve">0.2  Core Invariants</w:t>
      </w:r>
    </w:p>
    <w:p>
      <w:pPr>
        <w:pBdr>
          <w:left w:val="single" w:color="dc2626" w:sz="8" w:space="4"/>
        </w:pBdr>
        <w:shd w:fill="fee2e2" w:val="clear"/>
        <w:spacing w:before="80" w:after="80"/>
        <w:ind w:left="200"/>
      </w:pPr>
      <w:r>
        <w:rPr>
          <w:rFonts w:ascii="Arial" w:cs="Arial" w:eastAsia="Arial" w:hAnsi="Arial"/>
          <w:b/>
          <w:bCs/>
          <w:color w:val="dc2626"/>
          <w:sz w:val="18"/>
          <w:szCs w:val="18"/>
        </w:rPr>
        <w:t xml:space="preserve">⛔ Emissions are NEVER primary data. They are always derived from activity inputs by the engine. No user or agent may POST directly to any emissions_* category. The API guard in the Data Library enforces this.</w:t>
      </w:r>
    </w:p>
    <w:p>
      <w:pPr>
        <w:pBdr>
          <w:left w:val="single" w:color="d97706" w:sz="8" w:space="4"/>
        </w:pBdr>
        <w:shd w:fill="fff3cd" w:val="clear"/>
        <w:spacing w:before="80" w:after="80"/>
        <w:ind w:left="200"/>
      </w:pPr>
      <w:r>
        <w:rPr>
          <w:rFonts w:ascii="Arial" w:cs="Arial" w:eastAsia="Arial" w:hAnsi="Arial"/>
          <w:b/>
          <w:bCs/>
          <w:color w:val="d97706"/>
          <w:sz w:val="18"/>
          <w:szCs w:val="18"/>
        </w:rPr>
        <w:t xml:space="preserve">⚠ Every emission result must be traceable: source activity record IDs, emission factor value and version, calculation formula, and calculated_at timestamp must all be stored.</w:t>
      </w:r>
    </w:p>
    <w:p>
      <w:pPr>
        <w:pBdr>
          <w:left w:val="single" w:color="166534" w:sz="8" w:space="4"/>
        </w:pBdr>
        <w:shd w:fill="dcfce7" w:val="clear"/>
        <w:spacing w:before="80" w:after="80"/>
        <w:ind w:left="200"/>
      </w:pPr>
      <w:r>
        <w:rPr>
          <w:rFonts w:ascii="Arial" w:cs="Arial" w:eastAsia="Arial" w:hAnsi="Arial"/>
          <w:b/>
          <w:bCs/>
          <w:color w:val="166534"/>
          <w:sz w:val="18"/>
          <w:szCs w:val="18"/>
        </w:rPr>
        <w:t xml:space="preserve">✔ The engine recalculates automatically when an energy, water, or waste record is approved in the Data Library, ensuring the Emissions Calculated page always reflects current validated data.</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0.3  Layering</w:t>
      </w:r>
    </w:p>
    <w:p>
      <w:pPr>
        <w:spacing w:before="80" w:after="80"/>
      </w:pPr>
      <w:r>
        <w:rPr>
          <w:rFonts w:ascii="Arial" w:cs="Arial" w:eastAsia="Arial" w:hAnsi="Arial"/>
          <w:sz w:val="20"/>
          <w:szCs w:val="20"/>
        </w:rPr>
        <w:t xml:space="preserve">The engine operates on three layers that must remain strictly separated: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000"/>
        <w:gridCol w:w="2160"/>
      </w:tblGrid>
      <w:tr>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What it contains</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Who writes it</w:t>
            </w:r>
          </w:p>
        </w:tc>
        <w:tc>
          <w:tcPr>
            <w:tcW w:type="dxa" w:w="2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Who reads it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Activity Layer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data_library_records with subject_category = energy_*, water_*, waste_*, indirect_activities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Users, agents, shared data contributors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Emissions Engine (read-only)</w:t>
            </w:r>
          </w:p>
        </w:tc>
      </w:tr>
      <w:tr>
        <w:tc>
          <w:tcPr>
            <w:tcW w:type="dxa" w:w="1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Emissions Layer</w:t>
            </w:r>
          </w:p>
        </w:tc>
        <w:tc>
          <w:tcPr>
            <w:tcW w:type="dxa" w:w="3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data_library_records with subject_category = emissions_*; emission_line_items; emission_calculation_runs</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Emissions Engine only</w:t>
            </w:r>
          </w:p>
        </w:tc>
        <w:tc>
          <w:tcPr>
            <w:tcW w:type="dxa" w:w="21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Reports, dashboards, AI agents, frontend Emissions Calculated page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Factor Layer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emission_factor_sets table (DEFRA, EEIO, custom)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Account Admin (custom) or seeded from DEFRA/EEIO data</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Emissions Engine</w:t>
            </w:r>
          </w:p>
        </w:tc>
      </w:tr>
    </w:tbl>
    <w:p>
      <w:pPr>
        <w:spacing w:before="60" w:after="6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§1  Activity → Scope Mapping</w:t>
      </w:r>
    </w:p>
    <w:p>
      <w:pPr>
        <w:pStyle w:val="Heading2"/>
        <w:spacing w:before="280" w:after="120"/>
      </w:pPr>
      <w:r>
        <w:rPr>
          <w:rFonts w:ascii="Arial" w:cs="Arial" w:eastAsia="Arial" w:hAnsi="Arial"/>
          <w:b/>
          <w:bCs/>
          <w:color w:val="4f46e5"/>
          <w:sz w:val="22"/>
          <w:szCs w:val="22"/>
        </w:rPr>
        <w:t xml:space="preserve">1.1  Design Principle</w:t>
      </w:r>
    </w:p>
    <w:p>
      <w:pPr>
        <w:spacing w:before="80" w:after="80"/>
      </w:pPr>
      <w:r>
        <w:rPr>
          <w:rFonts w:ascii="Arial" w:cs="Arial" w:eastAsia="Arial" w:hAnsi="Arial"/>
          <w:sz w:val="20"/>
          <w:szCs w:val="20"/>
        </w:rPr>
        <w:t xml:space="preserve">Scope is a classification outcome of the engine. It is never entered manually by a user. The engine assigns scope deterministically based on the activity type, billing source, and control classification of the source record.</w:t>
      </w:r>
    </w:p>
    <w:p>
      <w:pPr>
        <w:pStyle w:val="Heading2"/>
        <w:spacing w:before="280" w:after="120"/>
      </w:pPr>
      <w:r>
        <w:rPr>
          <w:rFonts w:ascii="Arial" w:cs="Arial" w:eastAsia="Arial" w:hAnsi="Arial"/>
          <w:b/>
          <w:bCs/>
          <w:color w:val="4f46e5"/>
          <w:sz w:val="22"/>
          <w:szCs w:val="22"/>
        </w:rPr>
        <w:t xml:space="preserve">1.2  Section A — Energy &amp; Utilities</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v4 update: Energy categories now carry _landlord, _tenant, and _shared suffixes. Scope 1 is split into emissions_scope1_landlord and emissions_scope1_tenant. energy_electricity_shared maps to Scope 2 (allocated, landlord-procured but recharged via service charge).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400"/>
        <w:gridCol w:w="1600"/>
        <w:gridCol w:w="1860"/>
      </w:tblGrid>
      <w:tr>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subject_category (Data Library v4)</w:t>
            </w:r>
          </w:p>
        </w:tc>
        <w:tc>
          <w:tcPr>
            <w:tcW w:type="dxa" w:w="17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Billing source</w:t>
            </w:r>
          </w:p>
        </w:tc>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 Scope</w:t>
            </w:r>
          </w:p>
        </w:tc>
        <w:tc>
          <w:tcPr>
            <w:tcW w:type="dxa" w:w="18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Confidence default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energy_electricity_tenant</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Tenant Direct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Tenant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2</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energy_electricity_landlord</w:t>
            </w:r>
          </w:p>
        </w:tc>
        <w:tc>
          <w:tcPr>
            <w:tcW w:type="dxa" w:w="17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Landlord Direct</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Landlord</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2</w:t>
            </w:r>
          </w:p>
        </w:tc>
        <w:tc>
          <w:tcPr>
            <w:tcW w:type="dxa" w:w="1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energy_electricity_shared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Landlord Recharge / Service Charge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Landlord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2</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Allocated</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energy_gas_tenant</w:t>
            </w:r>
          </w:p>
        </w:tc>
        <w:tc>
          <w:tcPr>
            <w:tcW w:type="dxa" w:w="17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Tenant Direct</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Tenant</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1 (tenant)</w:t>
            </w:r>
          </w:p>
        </w:tc>
        <w:tc>
          <w:tcPr>
            <w:tcW w:type="dxa" w:w="1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energy_gas_landlord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Landlord / whole building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Landlord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1 (landlord)</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Measured / Allocated</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energy_district_heat_landlord</w:t>
            </w:r>
          </w:p>
        </w:tc>
        <w:tc>
          <w:tcPr>
            <w:tcW w:type="dxa" w:w="17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Landlord</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Landlord</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2</w:t>
            </w:r>
          </w:p>
        </w:tc>
        <w:tc>
          <w:tcPr>
            <w:tcW w:type="dxa" w:w="1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 / Allocated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energy_oil_landlord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Landlord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Landlord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1 (landlord)</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Allocated</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energy_other_landlord</w:t>
            </w:r>
          </w:p>
        </w:tc>
        <w:tc>
          <w:tcPr>
            <w:tcW w:type="dxa" w:w="17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Landlord</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Landlord</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1 (landlord)</w:t>
            </w:r>
          </w:p>
        </w:tc>
        <w:tc>
          <w:tcPr>
            <w:tcW w:type="dxa" w:w="1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Allocated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water_mains_landlord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Landlord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Landlord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 (water treatment)</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Measured / Allocated</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water_mains_tenant</w:t>
            </w:r>
          </w:p>
        </w:tc>
        <w:tc>
          <w:tcPr>
            <w:tcW w:type="dxa" w:w="17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Tenant Direct</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Tenant</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3 (water treatment)</w:t>
            </w:r>
          </w:p>
        </w:tc>
        <w:tc>
          <w:tcPr>
            <w:tcW w:type="dxa" w:w="1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water_recycled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 (reduced)</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refrigerant_loss</w:t>
            </w:r>
          </w:p>
        </w:tc>
        <w:tc>
          <w:tcPr>
            <w:tcW w:type="dxa" w:w="17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Any</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Landlord / Tenant</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1 (landlord or tenant per control)</w:t>
            </w:r>
          </w:p>
        </w:tc>
        <w:tc>
          <w:tcPr>
            <w:tcW w:type="dxa" w:w="1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w:t>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1.3  Section B — Waste &amp; Recycling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2800"/>
        <w:gridCol w:w="1960"/>
      </w:tblGrid>
      <w:tr>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waste_stream_type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subject_category</w:t>
            </w:r>
          </w:p>
        </w:tc>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 Scope</w:t>
            </w:r>
          </w:p>
        </w:tc>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Logic rule</w:t>
            </w:r>
          </w:p>
        </w:tc>
        <w:tc>
          <w:tcPr>
            <w:tcW w:type="dxa" w:w="1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general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waste_general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 Cat 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Waste disposal — landfill factor</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plastic</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waste_recycled</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3 Cat 5</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Waste recycling — plastic factor</w:t>
            </w:r>
          </w:p>
        </w:tc>
        <w:tc>
          <w:tcPr>
            <w:tcW w:type="dxa" w:w="1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metal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waste_recycled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 Cat 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Waste recycling — metal factor</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paper_cardboard</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waste_recycled</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3 Cat 5</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Waste recycling — paper factor</w:t>
            </w:r>
          </w:p>
        </w:tc>
        <w:tc>
          <w:tcPr>
            <w:tcW w:type="dxa" w:w="1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glass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waste_recycled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 Cat 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Waste recycling — glass factor</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organic</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waste_composted</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3 Cat 5</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Composting — organic factor</w:t>
            </w:r>
          </w:p>
        </w:tc>
        <w:tc>
          <w:tcPr>
            <w:tcW w:type="dxa" w:w="1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electrical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waste_general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 Cat 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WEEE disposal factor</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hazardous</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waste_general</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3 Cat 5</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Hazardous waste disposal factor</w:t>
            </w:r>
          </w:p>
        </w:tc>
        <w:tc>
          <w:tcPr>
            <w:tcW w:type="dxa" w:w="1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construction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waste_general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 Cat 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Construction waste factor</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Measured</w:t>
            </w:r>
          </w:p>
        </w:tc>
      </w:tr>
    </w:tbl>
    <w:p>
      <w:pPr>
        <w:pBdr>
          <w:left w:val="single" w:color="4f46e5" w:sz="8" w:space="4"/>
        </w:pBdr>
        <w:shd w:fill="f0f0f8" w:val="clear"/>
        <w:spacing w:before="80" w:after="80"/>
        <w:ind w:left="200"/>
      </w:pPr>
      <w:r>
        <w:rPr>
          <w:rFonts w:ascii="Arial" w:cs="Arial" w:eastAsia="Arial" w:hAnsi="Arial"/>
          <w:i/>
          <w:iCs/>
          <w:color w:val="1a1a2e"/>
          <w:sz w:val="18"/>
          <w:szCs w:val="18"/>
        </w:rPr>
        <w:t xml:space="preserve">waste_stream_type is required on all waste_* records from Data Library v4. The engine must read this field to apply the correct material-specific emission factor. If waste_stream_type = general or is absent, apply the general waste landfill factor.</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1.4  Section C — Indirect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2800"/>
        <w:gridCol w:w="1360"/>
      </w:tblGrid>
      <w:tr>
        <w:tc>
          <w:tcPr>
            <w:tcW w:type="dxa" w:w="2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Activity type</w:t>
            </w:r>
          </w:p>
        </w:tc>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 Scope</w:t>
            </w:r>
          </w:p>
        </w:tc>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GHG Protocol Category</w:t>
            </w:r>
          </w:p>
        </w:tc>
        <w:tc>
          <w:tcPr>
            <w:tcW w:type="dxa" w:w="1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Confidence default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emissions_scope3_commuting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km or modelled (person-km)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Category 7 — Employee Commuting</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Estimated</w:t>
            </w:r>
          </w:p>
        </w:tc>
      </w:tr>
      <w:tr>
        <w:tc>
          <w:tcPr>
            <w:tcW w:type="dxa" w:w="2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emissions_scope3_business_travel</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km</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3</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Category 6 — Business Travel</w:t>
            </w:r>
          </w:p>
        </w:tc>
        <w:tc>
          <w:tcPr>
            <w:tcW w:type="dxa" w:w="1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 / Estimated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emissions_scope3_waste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tonnes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Category 5 — Waste in Operations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Measured</w:t>
            </w:r>
          </w:p>
        </w:tc>
      </w:tr>
      <w:tr>
        <w:tc>
          <w:tcPr>
            <w:tcW w:type="dxa" w:w="2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emissions_scope3_water</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m3</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3</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Water supply &amp; treatment</w:t>
            </w:r>
          </w:p>
        </w:tc>
        <w:tc>
          <w:tcPr>
            <w:tcW w:type="dxa" w:w="1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 / Allocated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emissions_scope3_upstream_energy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kWh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Category 3 — Fuel &amp; Energy Related</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Derived from energy records</w:t>
            </w:r>
          </w:p>
        </w:tc>
      </w:tr>
      <w:tr>
        <w:tc>
          <w:tcPr>
            <w:tcW w:type="dxa" w:w="2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Purchased goods (spend-based)</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GBP</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3</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Category 1 — Purchased Goods &amp; Services</w:t>
            </w:r>
          </w:p>
        </w:tc>
        <w:tc>
          <w:tcPr>
            <w:tcW w:type="dxa" w:w="1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Estimated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Capital goods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GBP or volume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Category 2 — Capital Goods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Estimated</w:t>
            </w:r>
          </w:p>
        </w:tc>
      </w:tr>
    </w:tbl>
    <w:p>
      <w:pPr>
        <w:pBdr>
          <w:left w:val="single" w:color="4f46e5" w:sz="8" w:space="4"/>
        </w:pBdr>
        <w:shd w:fill="f0f0f8" w:val="clear"/>
        <w:spacing w:before="80" w:after="80"/>
        <w:ind w:left="200"/>
      </w:pPr>
      <w:r>
        <w:rPr>
          <w:rFonts w:ascii="Arial" w:cs="Arial" w:eastAsia="Arial" w:hAnsi="Arial"/>
          <w:i/>
          <w:iCs/>
          <w:color w:val="1a1a2e"/>
          <w:sz w:val="18"/>
          <w:szCs w:val="18"/>
        </w:rPr>
        <w:t xml:space="preserve">Indirect activity data is entered by users in the Data Library under subject_category = indirect_activities. The engine reads these records and produces the corresponding emissions_scope3_* derived records. All Scope 3 indirect emissions are read-only on the Emissions Calculated page.</w:t>
      </w:r>
    </w:p>
    <w:p>
      <w:pPr>
        <w:spacing w:before="60" w:after="6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§2  Emission Factor Resolution</w:t>
      </w:r>
    </w:p>
    <w:p>
      <w:pPr>
        <w:pStyle w:val="Heading2"/>
        <w:spacing w:before="280" w:after="120"/>
      </w:pPr>
      <w:r>
        <w:rPr>
          <w:rFonts w:ascii="Arial" w:cs="Arial" w:eastAsia="Arial" w:hAnsi="Arial"/>
          <w:b/>
          <w:bCs/>
          <w:color w:val="4f46e5"/>
          <w:sz w:val="22"/>
          <w:szCs w:val="22"/>
        </w:rPr>
        <w:t xml:space="preserve">2.1  Factor Source Hierarchy</w:t>
      </w:r>
    </w:p>
    <w:p>
      <w:pPr>
        <w:spacing w:before="80" w:after="80"/>
      </w:pPr>
      <w:r>
        <w:rPr>
          <w:rFonts w:ascii="Arial" w:cs="Arial" w:eastAsia="Arial" w:hAnsi="Arial"/>
          <w:sz w:val="20"/>
          <w:szCs w:val="20"/>
        </w:rPr>
        <w:t xml:space="preserve">The engine resolves the correct emission factor using the following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Factor source</w:t>
            </w:r>
          </w:p>
        </w:tc>
        <w:tc>
          <w:tcPr>
            <w:tcW w:type="dxa" w:w="56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When used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(highest)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Account-specific custom factor (emission_factor_sets with account_id set)</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When Account Admin has overridden the default for a specific activity type and property</w:t>
            </w:r>
          </w:p>
        </w:tc>
      </w:tr>
      <w:tr>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UK DEFRA annual conversion factors</w:t>
            </w:r>
          </w:p>
        </w:tc>
        <w:tc>
          <w:tcPr>
            <w:tcW w:type="dxa" w:w="56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Default for all UK-based assets: electricity grid intensity, gas combustion, waste, water, transport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IEA location-based grid factors</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For non-UK assets where DEFRA does not apply; electricity Scope 2 location-based</w:t>
            </w:r>
          </w:p>
        </w:tc>
      </w:tr>
      <w:tr>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4 (lowest)</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EEIO spend-based factors</w:t>
            </w:r>
          </w:p>
        </w:tc>
        <w:tc>
          <w:tcPr>
            <w:tcW w:type="dxa" w:w="56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 3 Category 1 and 2 only (purchased goods, capital goods by GBP spend)</w:t>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2.2  Factor Resolution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960"/>
      </w:tblGrid>
      <w:tr>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Activity type</w:t>
            </w:r>
          </w:p>
        </w:tc>
        <w:tc>
          <w:tcPr>
            <w:tcW w:type="dxa" w:w="2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Factor source</w:t>
            </w:r>
          </w:p>
        </w:tc>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Factor unit</w:t>
            </w:r>
          </w:p>
        </w:tc>
        <w:tc>
          <w:tcPr>
            <w:tcW w:type="dxa" w:w="2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energy_electricity_* (location-based)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(GB grid intensity, annual)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kgCO2e/kWh</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Updated annually by DEFRA, typically March/April. Factor year must match reporting year.</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energy_electricity_* (market-based)</w:t>
            </w:r>
          </w:p>
        </w:tc>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Supplier-specific or residual mix</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kgCO2e/kWh</w:t>
            </w:r>
          </w:p>
        </w:tc>
        <w:tc>
          <w:tcPr>
            <w:tcW w:type="dxa" w:w="2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Only when supplier has REGO/GO-backed tariff. Requires market-based factor record from Account Admin.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energy_gas_*</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combustion factor — natural gas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kgCO2e/kWh</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Covers CO2, CH4, N2O. Gross calorific value basis.</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energy_district_heat_*</w:t>
            </w:r>
          </w:p>
        </w:tc>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UK DEFRA district heat factor</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kgCO2e/kWh</w:t>
            </w:r>
          </w:p>
        </w:tc>
        <w:tc>
          <w:tcPr>
            <w:tcW w:type="dxa" w:w="2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If no DEFRA factor available, use supplier-declared factor.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energy_oil_*</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combustion factor — gas oil / fuel oil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kgCO2e/kWh</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Select correct oil type factor; default to gas oil.</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refrigerant_loss</w:t>
            </w:r>
          </w:p>
        </w:tc>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UK DEFRA / IPCC AR5 GWP100</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kgCO2e/kg</w:t>
            </w:r>
          </w:p>
        </w:tc>
        <w:tc>
          <w:tcPr>
            <w:tcW w:type="dxa" w:w="2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Refrigerant type must be specified in notes on the source record. If unspecified, use worst-case R-410A GWP.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water_mains_*</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water supply + treatment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kgCO2e/m3</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Combined supply and treatment factor.</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waste_general (landfill)</w:t>
            </w:r>
          </w:p>
        </w:tc>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UK DEFRA waste — mixed waste landfill</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kgCO2e/tonne</w:t>
            </w:r>
          </w:p>
        </w:tc>
        <w:tc>
          <w:tcPr>
            <w:tcW w:type="dxa" w:w="2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waste_recycled (paper)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waste — paper recycling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kgCO2e/tonne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waste_recycled (plastic)</w:t>
            </w:r>
          </w:p>
        </w:tc>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UK DEFRA waste — plastic recycling</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kgCO2e/tonne</w:t>
            </w:r>
          </w:p>
        </w:tc>
        <w:tc>
          <w:tcPr>
            <w:tcW w:type="dxa" w:w="2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waste_recycled (metal)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waste — metal recycling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kgCO2e/tonne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waste_recycled (glass)</w:t>
            </w:r>
          </w:p>
        </w:tc>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UK DEFRA waste — glass recycling</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kgCO2e/tonne</w:t>
            </w:r>
          </w:p>
        </w:tc>
        <w:tc>
          <w:tcPr>
            <w:tcW w:type="dxa" w:w="2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waste_composted (organic)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waste — composting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kgCO2e/tonne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Business travel — flights</w:t>
            </w:r>
          </w:p>
        </w:tc>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UK DEFRA aviation (short/long haul)</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kgCO2e/km passenger</w:t>
            </w:r>
          </w:p>
        </w:tc>
        <w:tc>
          <w:tcPr>
            <w:tcW w:type="dxa" w:w="2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Separate factors for economy, business, first class if available.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Business travel — rail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rail transport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kgCO2e/km passenger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Employee commuting</w:t>
            </w:r>
          </w:p>
        </w:tc>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UK DEFRA transport — average car / public transport</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kgCO2e/km</w:t>
            </w:r>
          </w:p>
        </w:tc>
        <w:tc>
          <w:tcPr>
            <w:tcW w:type="dxa" w:w="2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If modal split unknown, use average commuting factor.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Upstream energy (Cat 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T&amp;D loss factors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kgCO2e/kWh</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Applied as % of energy_electricity_* consumption.</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Purchased goods (Cat 1)</w:t>
            </w:r>
          </w:p>
        </w:tc>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EEIO spend-based factor</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kgCO2e/GBP</w:t>
            </w:r>
          </w:p>
        </w:tc>
        <w:tc>
          <w:tcPr>
            <w:tcW w:type="dxa" w:w="2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Sector-specific EEIO factor. Estimated confidence only.</w:t>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2.3  Factor Versioning</w:t>
      </w:r>
    </w:p>
    <w:p>
      <w:pPr>
        <w:spacing w:before="80" w:after="80"/>
      </w:pPr>
      <w:r>
        <w:rPr>
          <w:rFonts w:ascii="Arial" w:cs="Arial" w:eastAsia="Arial" w:hAnsi="Arial"/>
          <w:sz w:val="20"/>
          <w:szCs w:val="20"/>
        </w:rPr>
        <w:t xml:space="preserve">Every factor applied by the engine must be stored with its version. The emission_factor_sets table (§5.1) stores: name, factor_year, version tag, and source label. When DEFRA releases updated factors (typically March/April each year), a new set of rows is inserted with the new factor_year. The engine uses the factor_year that matches the reporting period of the source activity record, not the current year.</w:t>
      </w:r>
    </w:p>
    <w:p>
      <w:pPr>
        <w:pBdr>
          <w:left w:val="single" w:color="d97706" w:sz="8" w:space="4"/>
        </w:pBdr>
        <w:shd w:fill="fff3cd" w:val="clear"/>
        <w:spacing w:before="80" w:after="80"/>
        <w:ind w:left="200"/>
      </w:pPr>
      <w:r>
        <w:rPr>
          <w:rFonts w:ascii="Arial" w:cs="Arial" w:eastAsia="Arial" w:hAnsi="Arial"/>
          <w:b/>
          <w:bCs/>
          <w:color w:val="d97706"/>
          <w:sz w:val="18"/>
          <w:szCs w:val="18"/>
        </w:rPr>
        <w:t xml:space="preserve">⚠ If the factor year for a reporting period has not yet been seeded into emission_factor_sets, the engine must NOT calculate and must instead flag a missing_factor error in the calculation run. It must not fall back silently to a prior year's factor without explicit admin override.</w:t>
      </w:r>
    </w:p>
    <w:p>
      <w:pPr>
        <w:spacing w:before="60" w:after="6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§3  Calculation Rules</w:t>
      </w:r>
    </w:p>
    <w:p>
      <w:pPr>
        <w:pStyle w:val="Heading2"/>
        <w:spacing w:before="280" w:after="120"/>
      </w:pPr>
      <w:r>
        <w:rPr>
          <w:rFonts w:ascii="Arial" w:cs="Arial" w:eastAsia="Arial" w:hAnsi="Arial"/>
          <w:b/>
          <w:bCs/>
          <w:color w:val="4f46e5"/>
          <w:sz w:val="22"/>
          <w:szCs w:val="22"/>
        </w:rPr>
        <w:t xml:space="preserve">3.1  Core Formula</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Emissions (tCO2e) = Activity Quantity × Emission Factor (kgCO2e/unit) ÷ 1000</w:t>
      </w:r>
    </w:p>
    <w:p>
      <w:pPr>
        <w:spacing w:before="60" w:after="60"/>
      </w:pPr>
      <w:r>
        <w:t xml:space="preserve"/>
      </w:r>
    </w:p>
    <w:p>
      <w:pPr>
        <w:spacing w:before="80" w:after="80"/>
      </w:pPr>
      <w:r>
        <w:rPr>
          <w:rFonts w:ascii="Arial" w:cs="Arial" w:eastAsia="Arial" w:hAnsi="Arial"/>
          <w:sz w:val="20"/>
          <w:szCs w:val="20"/>
        </w:rPr>
        <w:t xml:space="preserve">Example:</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Electricity: 7,500 kWh × 0.182 kgCO2e/kWh ÷ 1000 = 1.365 tCO2e</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Gas:         4,800 kWh × 0.203 kgCO2e/kWh ÷ 1000 = 0.974 tCO2e</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Waste:         450 kg  × 0.587 kgCO2e/kg  ÷ 1000 = 0.264 tCO2e  (÷ 1000 for kg → t conversion)</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3.2  Scope 2 Method</w:t>
      </w:r>
    </w:p>
    <w:p>
      <w:pPr>
        <w:spacing w:before="80" w:after="80"/>
      </w:pPr>
      <w:r>
        <w:rPr>
          <w:rFonts w:ascii="Arial" w:cs="Arial" w:eastAsia="Arial" w:hAnsi="Arial"/>
          <w:sz w:val="20"/>
          <w:szCs w:val="20"/>
        </w:rPr>
        <w:t xml:space="preserve">Scope 2 must be calculated twice: once location-based and once market-based. Both results are stored as separate derived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Derived category</w:t>
            </w:r>
          </w:p>
        </w:tc>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Factor source</w:t>
            </w:r>
          </w:p>
        </w:tc>
        <w:tc>
          <w:tcPr>
            <w:tcW w:type="dxa" w:w="2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When to calculate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emissions_scope2_location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Grid factor × total electricity consumption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location-based grid intensity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Always — for every electricity record</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emissions_scope2_market</w:t>
            </w:r>
          </w:p>
        </w:tc>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Supplier factor × matched electricity</w:t>
            </w:r>
          </w:p>
        </w:tc>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Supplier-declared GO/REGO-backed factor</w:t>
            </w:r>
          </w:p>
        </w:tc>
        <w:tc>
          <w:tcPr>
            <w:tcW w:type="dxa" w:w="2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Only when a market-based factor exists for the supplier. If none, market-based = location-based.</w:t>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3.3  Scope 1 Boundary Split</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v4 addition: Scope 1 is split into _landlord and _tenant to support GRESB boundary reporting. The engine determines which derived category to write based on the subject_category suffix of the source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Source subject_category</w:t>
            </w:r>
          </w:p>
        </w:tc>
        <w:tc>
          <w:tcPr>
            <w:tcW w:type="dxa" w:w="5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 Derived emissions category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energy_gas_tenant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emissions_scope1_tenant</w:t>
            </w:r>
          </w:p>
        </w:tc>
      </w:tr>
      <w:tr>
        <w:tc>
          <w:tcPr>
            <w:tcW w:type="dxa" w:w="3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energy_oil_landlord</w:t>
            </w:r>
          </w:p>
        </w:tc>
        <w:tc>
          <w:tcPr>
            <w:tcW w:type="dxa" w:w="57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emissions_scope1_landlord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energy_other_landlord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emissions_scope1_landlord</w:t>
            </w:r>
          </w:p>
        </w:tc>
      </w:tr>
      <w:tr>
        <w:tc>
          <w:tcPr>
            <w:tcW w:type="dxa" w:w="3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refrigerant_loss (controlled_by = tenant)</w:t>
            </w:r>
          </w:p>
        </w:tc>
        <w:tc>
          <w:tcPr>
            <w:tcW w:type="dxa" w:w="57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emissions_scope1_tenant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refrigerant_loss (controlled_by = landlord or unspecified)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emissions_scope1_landlord</w:t>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3.4  Double-Counting Prevention</w:t>
      </w:r>
    </w:p>
    <w:p>
      <w:pPr>
        <w:pBdr>
          <w:left w:val="single" w:color="d97706" w:sz="8" w:space="4"/>
        </w:pBdr>
        <w:shd w:fill="fff3cd" w:val="clear"/>
        <w:spacing w:before="80" w:after="80"/>
        <w:ind w:left="200"/>
      </w:pPr>
      <w:r>
        <w:rPr>
          <w:rFonts w:ascii="Arial" w:cs="Arial" w:eastAsia="Arial" w:hAnsi="Arial"/>
          <w:b/>
          <w:bCs/>
          <w:color w:val="d97706"/>
          <w:sz w:val="18"/>
          <w:szCs w:val="18"/>
        </w:rPr>
        <w:t xml:space="preserve">⚠ The engine must read property_utility_applicability and property_service_charge_includes before calculating water and heating emissions to prevent double-counting.</w:t>
      </w:r>
    </w:p>
    <w:p>
      <w:pPr>
        <w:spacing w:before="60" w:after="60"/>
      </w:pPr>
      <w:r>
        <w:t xml:space="preserve"/>
      </w:r>
    </w:p>
    <w:p>
      <w:pPr>
        <w:spacing w:before="80" w:after="80"/>
      </w:pPr>
      <w:r>
        <w:rPr>
          <w:rFonts w:ascii="Arial" w:cs="Arial" w:eastAsia="Arial" w:hAnsi="Arial"/>
          <w:sz w:val="20"/>
          <w:szCs w:val="20"/>
        </w:rPr>
        <w:t xml:space="preserve">Rules:</w:t>
      </w:r>
    </w:p>
    <w:p>
      <w:pPr>
        <w:pStyle w:val="ListParagraph"/>
        <w:numPr>
          <w:ilvl w:val="0"/>
          <w:numId w:val="2"/>
        </w:numPr>
        <w:spacing w:before="40" w:after="40"/>
      </w:pPr>
      <w:r>
        <w:rPr>
          <w:rFonts w:ascii="Arial" w:cs="Arial" w:eastAsia="Arial" w:hAnsi="Arial"/>
          <w:sz w:val="20"/>
          <w:szCs w:val="20"/>
        </w:rPr>
        <w:t xml:space="preserve">If water applicability = included_in_service_charge AND water_inclusion_scope = tenant_consumption_included: use only the service charge record (energy_electricity_shared) for water attribution. Do not calculate water emissions from any separate water_mains_* records for that property and period.</w:t>
      </w:r>
    </w:p>
    <w:p>
      <w:pPr>
        <w:pStyle w:val="ListParagraph"/>
        <w:numPr>
          <w:ilvl w:val="0"/>
          <w:numId w:val="2"/>
        </w:numPr>
        <w:spacing w:before="40" w:after="40"/>
      </w:pPr>
      <w:r>
        <w:rPr>
          <w:rFonts w:ascii="Arial" w:cs="Arial" w:eastAsia="Arial" w:hAnsi="Arial"/>
          <w:sz w:val="20"/>
          <w:szCs w:val="20"/>
        </w:rPr>
        <w:t xml:space="preserve">If water applicability = both: combine service charge (base building portion) and separate water record (tenant portion) without double-counting. The CoverageEngine defines which portion each covers.</w:t>
      </w:r>
    </w:p>
    <w:p>
      <w:pPr>
        <w:pStyle w:val="ListParagraph"/>
        <w:numPr>
          <w:ilvl w:val="0"/>
          <w:numId w:val="2"/>
        </w:numPr>
        <w:spacing w:before="40" w:after="40"/>
      </w:pPr>
      <w:r>
        <w:rPr>
          <w:rFonts w:ascii="Arial" w:cs="Arial" w:eastAsia="Arial" w:hAnsi="Arial"/>
          <w:sz w:val="20"/>
          <w:szCs w:val="20"/>
        </w:rPr>
        <w:t xml:space="preserve">If water applicability = separate_bill: use only separate water_mains_* records.</w:t>
      </w:r>
    </w:p>
    <w:p>
      <w:pPr>
        <w:pStyle w:val="ListParagraph"/>
        <w:numPr>
          <w:ilvl w:val="0"/>
          <w:numId w:val="2"/>
        </w:numPr>
        <w:spacing w:before="40" w:after="40"/>
      </w:pPr>
      <w:r>
        <w:rPr>
          <w:rFonts w:ascii="Arial" w:cs="Arial" w:eastAsia="Arial" w:hAnsi="Arial"/>
          <w:sz w:val="20"/>
          <w:szCs w:val="20"/>
        </w:rPr>
        <w:t xml:space="preserve">The same logic applies to heating_energy where heating is included in a landlord recharge.</w:t>
      </w:r>
    </w:p>
    <w:p>
      <w:pPr>
        <w:pStyle w:val="ListParagraph"/>
        <w:numPr>
          <w:ilvl w:val="0"/>
          <w:numId w:val="2"/>
        </w:numPr>
        <w:spacing w:before="40" w:after="40"/>
      </w:pPr>
      <w:r>
        <w:rPr>
          <w:rFonts w:ascii="Arial" w:cs="Arial" w:eastAsia="Arial" w:hAnsi="Arial"/>
          <w:sz w:val="20"/>
          <w:szCs w:val="20"/>
        </w:rPr>
        <w:t xml:space="preserve">When double-counting prevention rules exclude a record, the engine writes a calculation run note explaining which records were excluded and why.</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3.5  Scope 3 Category 3 — Upstream Energy</w:t>
      </w:r>
    </w:p>
    <w:p>
      <w:pPr>
        <w:spacing w:before="80" w:after="80"/>
      </w:pPr>
      <w:r>
        <w:rPr>
          <w:rFonts w:ascii="Arial" w:cs="Arial" w:eastAsia="Arial" w:hAnsi="Arial"/>
          <w:sz w:val="20"/>
          <w:szCs w:val="20"/>
        </w:rPr>
        <w:t xml:space="preserve">Scope 3 Category 3 (fuel and energy related activities) is derived automatically from energy_electricity_* consumption using the DEFRA Transmission and Distribution (T&amp;D) loss factor. The engine calculates this as a percentage uplift on all electricity consumption records. No separate user input is required. The derived record is written as emissions_scope3_upstream_energy.</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3.6  Confidence Inheritance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Activity record confidence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 Derived emissions confidence</w:t>
            </w:r>
          </w:p>
        </w:tc>
        <w:tc>
          <w:tcPr>
            <w:tcW w:type="dxa" w:w="5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Reporting implication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measured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disclosure required</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allocated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5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Methodology must be documented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estimated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Low</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Must be flagged in ESG reports; SECR disclosure if &gt; 20% of total</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cost_only</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Low</w:t>
            </w:r>
          </w:p>
        </w:tc>
        <w:tc>
          <w:tcPr>
            <w:tcW w:type="dxa" w:w="5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Cannot be included in regulatory kWh totals; excluded from SECR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shared_data (as submitted)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Inherits contributor-assigned level; validator may override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Same rules as above apply to overridden level</w:t>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3.7  Scope Aggregation</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Scope 1 Landlord Total = Σ emissions_scope1_landlord line items</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Scope 1 Tenant Total   = Σ emissions_scope1_tenant line items</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Scope 1 Total          = Scope 1 Landlord + Scope 1 Tenant</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Scope 2 Location Total = Σ emissions_scope2_location line items</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Scope 2 Market Total   = Σ emissions_scope2_market line items</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Scope 3 Total          = Σ all emissions_scope3_* line items</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Grand Total            = Scope 1 Total + Scope 2 (location or market) + Scope 3 Total</w:t>
      </w:r>
    </w:p>
    <w:p>
      <w:pPr>
        <w:spacing w:before="60" w:after="6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§4  Engine Trigger &amp; Workflow</w:t>
      </w:r>
    </w:p>
    <w:p>
      <w:pPr>
        <w:pStyle w:val="Heading2"/>
        <w:spacing w:before="280" w:after="120"/>
      </w:pPr>
      <w:r>
        <w:rPr>
          <w:rFonts w:ascii="Arial" w:cs="Arial" w:eastAsia="Arial" w:hAnsi="Arial"/>
          <w:b/>
          <w:bCs/>
          <w:color w:val="4f46e5"/>
          <w:sz w:val="22"/>
          <w:szCs w:val="22"/>
        </w:rPr>
        <w:t xml:space="preserve">4.1  Trigger Events</w:t>
      </w:r>
    </w:p>
    <w:p>
      <w:pPr>
        <w:spacing w:before="80" w:after="80"/>
      </w:pPr>
      <w:r>
        <w:rPr>
          <w:rFonts w:ascii="Arial" w:cs="Arial" w:eastAsia="Arial" w:hAnsi="Arial"/>
          <w:sz w:val="20"/>
          <w:szCs w:val="20"/>
        </w:rPr>
        <w:t xml:space="preserve">The Emissions Engine recalculates automatically when any of the following events occur in the Data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Trigger mechanism</w:t>
            </w:r>
          </w:p>
        </w:tc>
        <w:tc>
          <w:tcPr>
            <w:tcW w:type="dxa" w:w="3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Scope of recalculation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Energy, water, or waste record approved (validation_status → approved)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data_library_record_approved event emitted from Data Library API</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emission records for that property and period</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Energy, water, or waste record unlocked (admin reverts approved record)</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data_library_record_unlocked event</w:t>
            </w:r>
          </w:p>
        </w:tc>
        <w:tc>
          <w:tcPr>
            <w:tcW w:type="dxa" w:w="37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Mark prior calculation run as superseded; recalculate on next approval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 factor set updated (new DEFRA year seeded)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emission_factor_updated event from admin action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calculation runs that used the prior factor year — recalculate in background job</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Account Admin manually triggers recalculation</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POST /emissions/recalculate (see §6)</w:t>
            </w:r>
          </w:p>
        </w:tc>
        <w:tc>
          <w:tcPr>
            <w:tcW w:type="dxa" w:w="37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All records for specified property + period</w:t>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4.2  Calculation Workflow</w:t>
      </w:r>
    </w:p>
    <w:p>
      <w:pPr>
        <w:spacing w:before="80" w:after="80"/>
      </w:pPr>
      <w:r>
        <w:rPr>
          <w:rFonts w:ascii="Arial" w:cs="Arial" w:eastAsia="Arial" w:hAnsi="Arial"/>
          <w:sz w:val="20"/>
          <w:szCs w:val="20"/>
        </w:rPr>
        <w:t xml:space="preserve">For each trigger event, the engine executes the following steps:</w:t>
      </w:r>
    </w:p>
    <w:p>
      <w:pPr>
        <w:spacing w:before="80" w:after="80"/>
      </w:pPr>
      <w:r>
        <w:rPr>
          <w:rFonts w:ascii="Arial" w:cs="Arial" w:eastAsia="Arial" w:hAnsi="Arial"/>
          <w:sz w:val="20"/>
          <w:szCs w:val="20"/>
        </w:rPr>
        <w:t xml:space="preserve">1. Load all approved data_library_records for the property + period where subject_category is any energy_*, water_*, waste_*, or indirect_activities category.</w:t>
      </w:r>
    </w:p>
    <w:p>
      <w:pPr>
        <w:spacing w:before="80" w:after="80"/>
      </w:pPr>
      <w:r>
        <w:rPr>
          <w:rFonts w:ascii="Arial" w:cs="Arial" w:eastAsia="Arial" w:hAnsi="Arial"/>
          <w:sz w:val="20"/>
          <w:szCs w:val="20"/>
        </w:rPr>
        <w:t xml:space="preserve">2. Load property_utility_applicability and property_service_charge_includes for double-counting prevention (§3.4).</w:t>
      </w:r>
    </w:p>
    <w:p>
      <w:pPr>
        <w:spacing w:before="80" w:after="80"/>
      </w:pPr>
      <w:r>
        <w:rPr>
          <w:rFonts w:ascii="Arial" w:cs="Arial" w:eastAsia="Arial" w:hAnsi="Arial"/>
          <w:sz w:val="20"/>
          <w:szCs w:val="20"/>
        </w:rPr>
        <w:t xml:space="preserve">3. For each activity record: resolve the correct emission factor from emission_factor_sets (§2.1 priority order). If no factor found, write a missing_factor error and skip that record.</w:t>
      </w:r>
    </w:p>
    <w:p>
      <w:pPr>
        <w:spacing w:before="80" w:after="80"/>
      </w:pPr>
      <w:r>
        <w:rPr>
          <w:rFonts w:ascii="Arial" w:cs="Arial" w:eastAsia="Arial" w:hAnsi="Arial"/>
          <w:sz w:val="20"/>
          <w:szCs w:val="20"/>
        </w:rPr>
        <w:t xml:space="preserve">4. Apply the calculation formula (§3.1). Apply double-counting exclusions (§3.4). Apply Scope 1 boundary split (§3.3). Apply Scope 3 Cat 3 upstream energy uplift (§3.5).</w:t>
      </w:r>
    </w:p>
    <w:p>
      <w:pPr>
        <w:spacing w:before="80" w:after="80"/>
      </w:pPr>
      <w:r>
        <w:rPr>
          <w:rFonts w:ascii="Arial" w:cs="Arial" w:eastAsia="Arial" w:hAnsi="Arial"/>
          <w:sz w:val="20"/>
          <w:szCs w:val="20"/>
        </w:rPr>
        <w:t xml:space="preserve">5. Insert a new emission_calculation_run row with status = completed (or failed if errors).</w:t>
      </w:r>
    </w:p>
    <w:p>
      <w:pPr>
        <w:spacing w:before="80" w:after="80"/>
      </w:pPr>
      <w:r>
        <w:rPr>
          <w:rFonts w:ascii="Arial" w:cs="Arial" w:eastAsia="Arial" w:hAnsi="Arial"/>
          <w:sz w:val="20"/>
          <w:szCs w:val="20"/>
        </w:rPr>
        <w:t xml:space="preserve">6. Insert emission_line_items rows — one per activity record per derived scope, with source_record_ids and factor reference.</w:t>
      </w:r>
    </w:p>
    <w:p>
      <w:pPr>
        <w:spacing w:before="80" w:after="80"/>
      </w:pPr>
      <w:r>
        <w:rPr>
          <w:rFonts w:ascii="Arial" w:cs="Arial" w:eastAsia="Arial" w:hAnsi="Arial"/>
          <w:sz w:val="20"/>
          <w:szCs w:val="20"/>
        </w:rPr>
        <w:t xml:space="preserve">7. Write derived emissions back to data_library_records as emissions_* category records (replaces prior run's derived records for same property + period).</w:t>
      </w:r>
    </w:p>
    <w:p>
      <w:pPr>
        <w:spacing w:before="80" w:after="80"/>
      </w:pPr>
      <w:r>
        <w:rPr>
          <w:rFonts w:ascii="Arial" w:cs="Arial" w:eastAsia="Arial" w:hAnsi="Arial"/>
          <w:sz w:val="20"/>
          <w:szCs w:val="20"/>
        </w:rPr>
        <w:t xml:space="preserve">8. Emit a calculation_completed event so the Coverage Engine and reporting dashboards can refresh.</w:t>
      </w:r>
    </w:p>
    <w:p>
      <w:pPr>
        <w:spacing w:before="80" w:after="80"/>
      </w:pPr>
      <w:r>
        <w:rPr>
          <w:rFonts w:ascii="Arial" w:cs="Arial" w:eastAsia="Arial" w:hAnsi="Arial"/>
          <w:sz w:val="20"/>
          <w:szCs w:val="20"/>
        </w:rPr>
        <w:t xml:space="preserve">9. Write an audit_events row (entity_type = emission_calculation_run, action = create, actor_id = null for system).</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4.3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condition</w:t>
            </w:r>
          </w:p>
        </w:tc>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Engine behaviour</w:t>
            </w:r>
          </w:p>
        </w:tc>
        <w:tc>
          <w:tcPr>
            <w:tcW w:type="dxa" w:w="4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User-visible effect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emission factor found for activity type + year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Skip that record; write missing_factor to calculation run meta; status = partial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Emissions Calculated page shows 'Partial — factor missing' indicator</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Activity record confidence = cost_only</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Exclude from kWh-based totals; include only in cost_only annotated line items</w:t>
            </w:r>
          </w:p>
        </w:tc>
        <w:tc>
          <w:tcPr>
            <w:tcW w:type="dxa" w:w="41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Shown separately on page; not included in SECR totals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Double-counting exclusion applied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Exclude record; write exclusion note to calculation run meta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Traceability drawer shows which records were excluded and why</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property_utility_applicability not set for property</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Proceed with all records; write 'applicability unknown — potential double count' warning</w:t>
            </w:r>
          </w:p>
        </w:tc>
        <w:tc>
          <w:tcPr>
            <w:tcW w:type="dxa" w:w="41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Warning displayed on Emissions Calculated page for that property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Calculation run fails entirely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status = failed; no derived records written; prior derived records retained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Emissions Calculated page shows stale indicator with prior run timestamp</w:t>
            </w:r>
          </w:p>
        </w:tc>
      </w:tr>
    </w:tbl>
    <w:p>
      <w:pPr>
        <w:spacing w:before="60" w:after="6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§5  Database Schema</w:t>
      </w:r>
    </w:p>
    <w:p>
      <w:pPr>
        <w:pStyle w:val="Heading2"/>
        <w:spacing w:before="280" w:after="120"/>
      </w:pPr>
      <w:r>
        <w:rPr>
          <w:rFonts w:ascii="Arial" w:cs="Arial" w:eastAsia="Arial" w:hAnsi="Arial"/>
          <w:b/>
          <w:bCs/>
          <w:color w:val="4f46e5"/>
          <w:sz w:val="22"/>
          <w:szCs w:val="22"/>
        </w:rPr>
        <w:t xml:space="preserve">5.1  emission_factor_sets</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Stores all emission factors by activity type, scope, and version. Seeded from UK DEFRA and EEIO datasets. Account Admins may add account-specific overrides (account_id set). Global defaults have account_id = null.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c>
          <w:tcPr>
            <w:tcW w:type="dxa" w:w="2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PK — auto-generated</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account_id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uuid FK → accounts</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NULL = global default; set for account-specific custom factors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e.g. 'UK DEFRA 2024', 'Supplier X Market'</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factor_year</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integer</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e.g. 2024 — matches reporting period year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version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Dataset version tag, e.g. 'v1.0'</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smallint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1, 2, or 3</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activity_type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Matches subject_category or activity type key, e.g. 'energy_electricity_grid_uk'</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factor_value</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kgCO2e per unit (or per GBP for spend-based)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factor_unit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e.g. 'kgCO2e/kWh', 'kgCO2e/kg', 'kgCO2e/tonne', 'kgCO2e/GBP'</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source_label</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e.g. 'DEFRA', 'EEIO', 'IEA', 'Supplier'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geography_iso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e.g. 'GB' for UK-specific factors</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is_market_based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boolean</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false = location-based; true = market-based (Scope 2)</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waste_stream_type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For waste factors: matches waste_stream_type field on activity record</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notes</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e.g. GWP basis, refrigerant type, methodology 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created_at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timestamptz</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updated_at</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timestamptz</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5.2  emission_calculation_runs</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One row per calculation invocation per property and period. Stores high-level metadata and cached scope totals. Multiple runs may exist for the same property + period (when factor versions change or admin triggers recalculation).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3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PK</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account_id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uuid FK → accounts</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RLS anchor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property_id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uuid FK → properties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null = account-level rollup</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period_start</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Reporting period start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period_end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Reporting period end</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factor_set_name</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e.g. 'UK DEFRA 2024' — denormalised for display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factor_year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e.g. 2024</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calculation_version</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Engine version, e.g. 'v1.0'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scope2_method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'location' | 'market' | 'hybrid'</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calculated_at</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timestamptz</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When the run completed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'completed' | 'partial' | 'failed'</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total_scope1_landlord_tco2e</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Cached — sum of scope1_landlord line items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total_scope1_tenant_tco2e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Cached — sum of scope1_tenant line items</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total_scope2_location_tco2e</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Cached — sum of scope2_location line items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total_scope2_market_tco2e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Cached — sum of scope2_market line items</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total_scope3_tco2e</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Cached — sum of all scope3_* line items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grand_total_tco2e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1 + Scope 2 (location) + Scope 3</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measured_share</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0–1 overall confidence mix</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allocated_share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0–1</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estimated_share</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0–1</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records_excluded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Count of activity records excluded (double-counting, cost_only)</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meta</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jsonb</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Errors, missing factors, exclusion notes, superseded_by run 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created_at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timestamptz</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5.3  emission_line_items</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One row per activity record per derived scope. This is the granular traceability layer — every number on the Emissions Calculated page traces back to a line item row.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3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PK</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calculation_run_id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uuid FK → emission_calculation_runs</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smallint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2, or 3</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scope_sub</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e.g. 'landlord', 'tenant', 'location', 'market' — for split scopes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activity_label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Human-readable, e.g. 'Tenant Electricity (Trio)'</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dataset_id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'energy_utilities' | 'waste' | 'indirect_activities'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billing_source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'tenant_direct' | 'landlord_recharge' | 'third_party' | 'shared_data' | 'unknown'</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control</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'tenant' | 'landlord' | 'shared' | 'unknown'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ghg_category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3 only: 'cat3_upstream_energy' | 'cat5_waste' | 'cat6_business_travel' | 'cat7_commuting' etc.</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quantity</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Activity quantity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'kWh' | 'm3' | 'kg' | 'tonnes' | 'km' | 'GBP'</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factor_id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uuid FK → emission_factor_sets</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Which factor was applied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factor_value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Denormalised kgCO2e per unit at time of calculation</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factor_unit</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e.g. 'kgCO2e/kWh'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factor_source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e.g. 'DEFRA'</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factor_year</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integer</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Factor year applied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emissions_tco2e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numeric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Result: quantity × factor_value ÷ 1000</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confidence</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'measured' | 'allocated' | 'estimated' | 'cost_only'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period_start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Activity record period</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period_end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source_record_ids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data_library_records.id[] for full traceability</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evidence_file_ids</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uuid[]</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documents.id[] linked to source records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excluded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boolean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DEFAULT false — true if excluded by double-counting or cost_only rules</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exclusion_reason</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e.g. 'double_count: water_included_in_service_charge'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created_at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timestamptz</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5.4  RLS and Multi-Tenancy</w:t>
      </w:r>
    </w:p>
    <w:p>
      <w:pPr>
        <w:pStyle w:val="ListParagraph"/>
        <w:numPr>
          <w:ilvl w:val="0"/>
          <w:numId w:val="2"/>
        </w:numPr>
        <w:spacing w:before="40" w:after="40"/>
      </w:pPr>
      <w:r>
        <w:rPr>
          <w:rFonts w:ascii="Arial" w:cs="Arial" w:eastAsia="Arial" w:hAnsi="Arial"/>
          <w:sz w:val="20"/>
          <w:szCs w:val="20"/>
        </w:rPr>
        <w:t xml:space="preserve">emission_factor_sets: global rows (account_id = null) readable by all authenticated users. Account-specific rows readable only by members of that account.</w:t>
      </w:r>
    </w:p>
    <w:p>
      <w:pPr>
        <w:pStyle w:val="ListParagraph"/>
        <w:numPr>
          <w:ilvl w:val="0"/>
          <w:numId w:val="2"/>
        </w:numPr>
        <w:spacing w:before="40" w:after="40"/>
      </w:pPr>
      <w:r>
        <w:rPr>
          <w:rFonts w:ascii="Arial" w:cs="Arial" w:eastAsia="Arial" w:hAnsi="Arial"/>
          <w:sz w:val="20"/>
          <w:szCs w:val="20"/>
        </w:rPr>
        <w:t xml:space="preserve">emission_calculation_runs: account-scoped RLS. Members can read; engine service role writes.</w:t>
      </w:r>
    </w:p>
    <w:p>
      <w:pPr>
        <w:pStyle w:val="ListParagraph"/>
        <w:numPr>
          <w:ilvl w:val="0"/>
          <w:numId w:val="2"/>
        </w:numPr>
        <w:spacing w:before="40" w:after="40"/>
      </w:pPr>
      <w:r>
        <w:rPr>
          <w:rFonts w:ascii="Arial" w:cs="Arial" w:eastAsia="Arial" w:hAnsi="Arial"/>
          <w:sz w:val="20"/>
          <w:szCs w:val="20"/>
        </w:rPr>
        <w:t xml:space="preserve">emission_line_items: access via calculation_run_id — readable by members of the run's account. Engine service role writes.</w:t>
      </w:r>
    </w:p>
    <w:p>
      <w:pPr>
        <w:pStyle w:val="ListParagraph"/>
        <w:numPr>
          <w:ilvl w:val="0"/>
          <w:numId w:val="2"/>
        </w:numPr>
        <w:spacing w:before="40" w:after="40"/>
      </w:pPr>
      <w:r>
        <w:rPr>
          <w:rFonts w:ascii="Arial" w:cs="Arial" w:eastAsia="Arial" w:hAnsi="Arial"/>
          <w:sz w:val="20"/>
          <w:szCs w:val="20"/>
        </w:rPr>
        <w:t xml:space="preserve">No user role may INSERT or UPDATE any emissions engine table directly. All writes are via service role.</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5.5  Migration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add-emission-factor-sets.sql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Create emission_factor_sets table + RLS + indexes</w:t>
            </w:r>
          </w:p>
        </w:tc>
      </w:tr>
      <w:tr>
        <w:tc>
          <w:tcPr>
            <w:tcW w:type="dxa" w:w="3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add-emission-calculation-runs.sql</w:t>
            </w:r>
          </w:p>
        </w:tc>
        <w:tc>
          <w:tcPr>
            <w:tcW w:type="dxa" w:w="6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Create emission_calculation_runs + RLS + indexes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add-emission-line-items.sql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Create emission_line_items + RLS + indexes</w:t>
            </w:r>
          </w:p>
        </w:tc>
      </w:tr>
      <w:tr>
        <w:tc>
          <w:tcPr>
            <w:tcW w:type="dxa" w:w="3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seed-defra-2024-factors.sql</w:t>
            </w:r>
          </w:p>
        </w:tc>
        <w:tc>
          <w:tcPr>
            <w:tcW w:type="dxa" w:w="6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Seed UK DEFRA 2024 factors into emission_factor_sets (energy, waste, water, transport)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seed-eeio-factors.sql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Seed EEIO spend-based factors for Cat 1 and Cat 2 Scope 3</w:t>
            </w:r>
          </w:p>
        </w:tc>
      </w:tr>
    </w:tbl>
    <w:p>
      <w:pPr>
        <w:spacing w:before="60" w:after="6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§6  API Endpoints</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All endpoints are prefixed: /api/v1. Authentication: Bearer JWT. Engine endpoints are service-role only for writes; reads are member-accessible.</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6.1  GET /emissions/summary</w:t>
      </w:r>
    </w:p>
    <w:p>
      <w:pPr>
        <w:spacing w:before="80" w:after="80"/>
      </w:pPr>
      <w:r>
        <w:rPr>
          <w:rFonts w:ascii="Arial" w:cs="Arial" w:eastAsia="Arial" w:hAnsi="Arial"/>
          <w:sz w:val="20"/>
          <w:szCs w:val="20"/>
        </w:rPr>
        <w:t xml:space="preserve">Returns the EmissionsPageVM for the Emissions Calculated page. Single endpoint; assembles scope summaries, line items, and calculation metadata from the most recent completed calculation run for the property +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5360"/>
      </w:tblGrid>
      <w:tr>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property_id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Property to return emissions for</w:t>
            </w:r>
          </w:p>
        </w:tc>
      </w:tr>
      <w:tr>
        <w:tc>
          <w:tcPr>
            <w:tcW w:type="dxa" w:w="1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period_start</w:t>
            </w:r>
          </w:p>
        </w:tc>
        <w:tc>
          <w:tcPr>
            <w:tcW w:type="dxa" w:w="1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5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Reporting period start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period_end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Reporting period end</w:t>
            </w:r>
          </w:p>
        </w:tc>
      </w:tr>
      <w:tr>
        <w:tc>
          <w:tcPr>
            <w:tcW w:type="dxa" w:w="1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scope2_method</w:t>
            </w:r>
          </w:p>
        </w:tc>
        <w:tc>
          <w:tcPr>
            <w:tcW w:type="dxa" w:w="1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text</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5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'location' (default) | 'market' | 'hybrid'</w:t>
            </w:r>
          </w:p>
        </w:tc>
      </w:tr>
    </w:tbl>
    <w:p>
      <w:pPr>
        <w:spacing w:before="60" w:after="60"/>
      </w:pPr>
      <w:r>
        <w:t xml:space="preserve"/>
      </w:r>
    </w:p>
    <w:p>
      <w:pPr>
        <w:pStyle w:val="Heading2"/>
        <w:spacing w:before="280" w:after="120"/>
      </w:pPr>
      <w:r>
        <w:rPr>
          <w:rFonts w:ascii="Arial" w:cs="Arial" w:eastAsia="Arial" w:hAnsi="Arial"/>
          <w:b/>
          <w:bCs/>
          <w:color w:val="4f46e5"/>
          <w:sz w:val="22"/>
          <w:szCs w:val="22"/>
        </w:rPr>
        <w:t xml:space="preserve">6.2  POST /emissions/recalculate</w:t>
      </w:r>
    </w:p>
    <w:p>
      <w:pPr>
        <w:spacing w:before="80" w:after="80"/>
      </w:pPr>
      <w:r>
        <w:rPr>
          <w:rFonts w:ascii="Arial" w:cs="Arial" w:eastAsia="Arial" w:hAnsi="Arial"/>
          <w:sz w:val="20"/>
          <w:szCs w:val="20"/>
        </w:rPr>
        <w:t xml:space="preserve">Admin-only endpoint. Triggers a full recalculation for a property + period. Returns a calculation run ID for status polling.</w:t>
      </w:r>
    </w:p>
    <w:p>
      <w:pPr>
        <w:pBdr>
          <w:top w:val="single" w:color="d1d5db" w:sz="1"/>
          <w:bottom w:val="single" w:color="d1d5db" w:sz="1"/>
          <w:left w:val="single" w:color="4f46e5" w:sz="4"/>
          <w:right w:val="single" w:color="d1d5db" w:sz="1"/>
        </w:pBdr>
        <w:shd w:fill="f8f8ff" w:val="clear"/>
        <w:spacing w:before="80" w:after="80"/>
        <w:ind w:left="200" w:right="200"/>
      </w:pPr>
      <w:r>
        <w:rPr>
          <w:rFonts w:ascii="Courier New" w:cs="Courier New" w:eastAsia="Courier New" w:hAnsi="Courier New"/>
          <w:color w:val="1a1a2e"/>
          <w:sz w:val="16"/>
          <w:szCs w:val="16"/>
        </w:rPr>
        <w:t xml:space="preserve">{ "property_id": "uuid", "period_start": "2024-01-01", "period_end": "2024-12-31" }</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6.3  GET /emissions/factors</w:t>
      </w:r>
    </w:p>
    <w:p>
      <w:pPr>
        <w:spacing w:before="80" w:after="80"/>
      </w:pPr>
      <w:r>
        <w:rPr>
          <w:rFonts w:ascii="Arial" w:cs="Arial" w:eastAsia="Arial" w:hAnsi="Arial"/>
          <w:sz w:val="20"/>
          <w:szCs w:val="20"/>
        </w:rPr>
        <w:t xml:space="preserve">Returns available emission factor sets for an account. Includes global defaults (account_id = null) and any account-specific overrides.</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6.4  POST /emissions/factors</w:t>
      </w:r>
    </w:p>
    <w:p>
      <w:pPr>
        <w:spacing w:before="80" w:after="80"/>
      </w:pPr>
      <w:r>
        <w:rPr>
          <w:rFonts w:ascii="Arial" w:cs="Arial" w:eastAsia="Arial" w:hAnsi="Arial"/>
          <w:sz w:val="20"/>
          <w:szCs w:val="20"/>
        </w:rPr>
        <w:t xml:space="preserve">Admin-only. Creates an account-specific emission factor override. Request body mirrors emission_factor_sets columns.</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6.5  GET /emissions/runs</w:t>
      </w:r>
    </w:p>
    <w:p>
      <w:pPr>
        <w:spacing w:before="80" w:after="80"/>
      </w:pPr>
      <w:r>
        <w:rPr>
          <w:rFonts w:ascii="Arial" w:cs="Arial" w:eastAsia="Arial" w:hAnsi="Arial"/>
          <w:sz w:val="20"/>
          <w:szCs w:val="20"/>
        </w:rPr>
        <w:t xml:space="preserve">Returns calculation run history for a property + period, ordered by calculated_at DESC. Useful for audit and debugging.</w:t>
      </w:r>
    </w:p>
    <w:p>
      <w:pPr>
        <w:spacing w:before="60" w:after="6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§7  Frontend Integration — Emissions Calculated Page</w:t>
      </w:r>
    </w:p>
    <w:p>
      <w:pPr>
        <w:pStyle w:val="Heading2"/>
        <w:spacing w:before="280" w:after="120"/>
      </w:pPr>
      <w:r>
        <w:rPr>
          <w:rFonts w:ascii="Arial" w:cs="Arial" w:eastAsia="Arial" w:hAnsi="Arial"/>
          <w:b/>
          <w:bCs/>
          <w:color w:val="4f46e5"/>
          <w:sz w:val="22"/>
          <w:szCs w:val="22"/>
        </w:rPr>
        <w:t xml:space="preserve">7.1  Data Contract Alignment</w:t>
      </w:r>
    </w:p>
    <w:p>
      <w:pPr>
        <w:spacing w:before="80" w:after="80"/>
      </w:pPr>
      <w:r>
        <w:rPr>
          <w:rFonts w:ascii="Arial" w:cs="Arial" w:eastAsia="Arial" w:hAnsi="Arial"/>
          <w:sz w:val="20"/>
          <w:szCs w:val="20"/>
        </w:rPr>
        <w:t xml:space="preserve">The Emissions Calculated page (route: /data-library/scope-data) consumes the EmissionsPageVM defined in docs/sources/Secure_Emissions_Calculated_Page_Engineering_Handoff_v1.md. The GET /emissions/summary endpoint returns this VM shape directly. Key v4 additions to the VM:</w:t>
      </w:r>
    </w:p>
    <w:p>
      <w:pPr>
        <w:pStyle w:val="ListParagraph"/>
        <w:numPr>
          <w:ilvl w:val="0"/>
          <w:numId w:val="2"/>
        </w:numPr>
        <w:spacing w:before="40" w:after="40"/>
      </w:pPr>
      <w:r>
        <w:rPr>
          <w:rFonts w:ascii="Arial" w:cs="Arial" w:eastAsia="Arial" w:hAnsi="Arial"/>
          <w:sz w:val="20"/>
          <w:szCs w:val="20"/>
        </w:rPr>
        <w:t xml:space="preserve">scopeSummaries now includes scope1_landlord and scope1_tenant as separate entries alongside the aggregate scope 1 total.</w:t>
      </w:r>
    </w:p>
    <w:p>
      <w:pPr>
        <w:pStyle w:val="ListParagraph"/>
        <w:numPr>
          <w:ilvl w:val="0"/>
          <w:numId w:val="2"/>
        </w:numPr>
        <w:spacing w:before="40" w:after="40"/>
      </w:pPr>
      <w:r>
        <w:rPr>
          <w:rFonts w:ascii="Arial" w:cs="Arial" w:eastAsia="Arial" w:hAnsi="Arial"/>
          <w:sz w:val="20"/>
          <w:szCs w:val="20"/>
        </w:rPr>
        <w:t xml:space="preserve">EmissionsLineItem includes scope_sub field for landlord/tenant/location/market disambiguation.</w:t>
      </w:r>
    </w:p>
    <w:p>
      <w:pPr>
        <w:pStyle w:val="ListParagraph"/>
        <w:numPr>
          <w:ilvl w:val="0"/>
          <w:numId w:val="2"/>
        </w:numPr>
        <w:spacing w:before="40" w:after="40"/>
      </w:pPr>
      <w:r>
        <w:rPr>
          <w:rFonts w:ascii="Arial" w:cs="Arial" w:eastAsia="Arial" w:hAnsi="Arial"/>
          <w:sz w:val="20"/>
          <w:szCs w:val="20"/>
        </w:rPr>
        <w:t xml:space="preserve">Excluded line items (excluded = true) are returned in the VM but marked as excluded with exclusion_reason. The UI should show these in a separate 'Excluded — double count prevention' section.</w:t>
      </w:r>
    </w:p>
    <w:p>
      <w:pPr>
        <w:pStyle w:val="ListParagraph"/>
        <w:numPr>
          <w:ilvl w:val="0"/>
          <w:numId w:val="2"/>
        </w:numPr>
        <w:spacing w:before="40" w:after="40"/>
      </w:pPr>
      <w:r>
        <w:rPr>
          <w:rFonts w:ascii="Arial" w:cs="Arial" w:eastAsia="Arial" w:hAnsi="Arial"/>
          <w:sz w:val="20"/>
          <w:szCs w:val="20"/>
        </w:rPr>
        <w:t xml:space="preserve">The metadata strip shows records_excluded count with a tooltip explaining the exclusion rules.</w:t>
      </w:r>
    </w:p>
    <w:p>
      <w:pPr>
        <w:pStyle w:val="Heading2"/>
        <w:spacing w:before="280" w:after="120"/>
      </w:pPr>
      <w:r>
        <w:rPr>
          <w:rFonts w:ascii="Arial" w:cs="Arial" w:eastAsia="Arial" w:hAnsi="Arial"/>
          <w:b/>
          <w:bCs/>
          <w:color w:val="4f46e5"/>
          <w:sz w:val="22"/>
          <w:szCs w:val="22"/>
        </w:rPr>
        <w:t xml:space="preserve">7.2  Read-Only Enforcement</w:t>
      </w:r>
    </w:p>
    <w:p>
      <w:pPr>
        <w:pBdr>
          <w:left w:val="single" w:color="dc2626" w:sz="8" w:space="4"/>
        </w:pBdr>
        <w:shd w:fill="fee2e2" w:val="clear"/>
        <w:spacing w:before="80" w:after="80"/>
        <w:ind w:left="200"/>
      </w:pPr>
      <w:r>
        <w:rPr>
          <w:rFonts w:ascii="Arial" w:cs="Arial" w:eastAsia="Arial" w:hAnsi="Arial"/>
          <w:b/>
          <w:bCs/>
          <w:color w:val="dc2626"/>
          <w:sz w:val="18"/>
          <w:szCs w:val="18"/>
        </w:rPr>
        <w:t xml:space="preserve">⛔ The Emissions Calculated page must have no Add Data button, no edit or delete actions, and no way to manually enter tCO2e values. All data on this page is derived. The only permitted user action is clicking a line item to open the traceability drawer.</w:t>
      </w:r>
    </w:p>
    <w:p>
      <w:pPr>
        <w:spacing w:before="60" w:after="60"/>
      </w:pPr>
      <w:r>
        <w:t xml:space="preserve"/>
      </w:r>
    </w:p>
    <w:p>
      <w:pPr>
        <w:pStyle w:val="Heading2"/>
        <w:spacing w:before="280" w:after="120"/>
      </w:pPr>
      <w:r>
        <w:rPr>
          <w:rFonts w:ascii="Arial" w:cs="Arial" w:eastAsia="Arial" w:hAnsi="Arial"/>
          <w:b/>
          <w:bCs/>
          <w:color w:val="4f46e5"/>
          <w:sz w:val="22"/>
          <w:szCs w:val="22"/>
        </w:rPr>
        <w:t xml:space="preserve">7.3  Traceability Drawer</w:t>
      </w:r>
    </w:p>
    <w:p>
      <w:pPr>
        <w:spacing w:before="80" w:after="80"/>
      </w:pPr>
      <w:r>
        <w:rPr>
          <w:rFonts w:ascii="Arial" w:cs="Arial" w:eastAsia="Arial" w:hAnsi="Arial"/>
          <w:sz w:val="20"/>
          <w:szCs w:val="20"/>
        </w:rPr>
        <w:t xml:space="preserve">Clicking any line item opens a read-only drawer showing: the activity label, scope, GHG category, quantity and unit, emission factor (value, unit, source, year, version), calculation formula display, source_record_ids (links to the Data Library records), and evidence_file_ids (view-only evidence attachments). This is the audit chain from emissions figure → source document.</w:t>
      </w:r>
    </w:p>
    <w:p>
      <w:pPr>
        <w:spacing w:before="60" w:after="6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§8  Q9 — Scope 3 Indirect Activities → Emissions Calculated</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This section directly answers Kajal's Q9: 'Should the added scope emissions from Indirect Activities be included in the Emissions (Calculated) table?'</w:t>
      </w:r>
    </w:p>
    <w:p>
      <w:pPr>
        <w:spacing w:before="60" w:after="60"/>
      </w:pPr>
      <w:r>
        <w:t xml:space="preserve"/>
      </w:r>
    </w:p>
    <w:p>
      <w:pPr>
        <w:spacing w:before="80" w:after="80"/>
      </w:pPr>
      <w:r>
        <w:rPr>
          <w:rFonts w:ascii="Arial" w:cs="Arial" w:eastAsia="Arial" w:hAnsi="Arial"/>
          <w:sz w:val="20"/>
          <w:szCs w:val="20"/>
        </w:rPr>
        <w:t xml:space="preserve">Yes — all Scope 3 indirect activity data entered in the Data Library flows into the Emissions Calculated table via the engine. The flow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8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User enters data</w:t>
            </w:r>
          </w:p>
        </w:tc>
        <w:tc>
          <w:tcPr>
            <w:tcW w:type="dxa" w:w="8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User adds a record to /data-library/indirect-activities with subject_category = indirect_activities, activity type (e.g. employee commuting), quantity, unit, period, and confidence level.</w:t>
            </w:r>
          </w:p>
        </w:tc>
      </w:tr>
      <w:tr>
        <w:tc>
          <w:tcPr>
            <w:tcW w:type="dxa" w:w="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2. Record approved</w:t>
            </w:r>
          </w:p>
        </w:tc>
        <w:tc>
          <w:tcPr>
            <w:tcW w:type="dxa" w:w="85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A validator approves the record. The data_library_record_approved event fires.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 Engine calculates</w:t>
            </w:r>
          </w:p>
        </w:tc>
        <w:tc>
          <w:tcPr>
            <w:tcW w:type="dxa" w:w="8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Emissions Engine reads the record, resolves the correct Scope 3 factor (e.g. DEFRA commuting factor), applies the formula, and writes a derived emissions_scope3_commuting record back to data_library_records.</w:t>
            </w:r>
          </w:p>
        </w:tc>
      </w:tr>
      <w:tr>
        <w:tc>
          <w:tcPr>
            <w:tcW w:type="dxa" w:w="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4. Page updates</w:t>
            </w:r>
          </w:p>
        </w:tc>
        <w:tc>
          <w:tcPr>
            <w:tcW w:type="dxa" w:w="85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The Emissions Calculated page (/data-library/scope-data) refreshes and displays the new Scope 3 line item under the Scope 3 accordion, with the GHG category (e.g. Cat 7 — Employee Commuting), quantity, factor, and tCO2e.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 Traceability</w:t>
            </w:r>
          </w:p>
        </w:tc>
        <w:tc>
          <w:tcPr>
            <w:tcW w:type="dxa" w:w="8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line item in emission_line_items carries source_record_ids pointing back to the indirect_activities record, and evidence_file_ids from any attached evidence.</w:t>
            </w:r>
          </w:p>
        </w:tc>
      </w:tr>
    </w:tbl>
    <w:p>
      <w:pPr>
        <w:spacing w:before="60" w:after="60"/>
      </w:pPr>
      <w:r>
        <w:t xml:space="preserve"/>
      </w:r>
    </w:p>
    <w:p>
      <w:pPr>
        <w:pBdr>
          <w:left w:val="single" w:color="166534" w:sz="8" w:space="4"/>
        </w:pBdr>
        <w:shd w:fill="dcfce7" w:val="clear"/>
        <w:spacing w:before="80" w:after="80"/>
        <w:ind w:left="200"/>
      </w:pPr>
      <w:r>
        <w:rPr>
          <w:rFonts w:ascii="Arial" w:cs="Arial" w:eastAsia="Arial" w:hAnsi="Arial"/>
          <w:b/>
          <w:bCs/>
          <w:color w:val="166534"/>
          <w:sz w:val="18"/>
          <w:szCs w:val="18"/>
        </w:rPr>
        <w:t xml:space="preserve">✔ All four Scope 3 categories added in Data Library v4 (commuting, waste, water, upstream energy) automatically appear on the Emissions Calculated page once their source activity records are approved and the engine has run. No manual tCO2e entry is required or permitted.</w:t>
      </w:r>
    </w:p>
    <w:p>
      <w:pPr>
        <w:spacing w:before="60" w:after="6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§9  Q10 — Emission Factors for Scope 1 Categories</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This section directly answers Kajal's Q10: 'Do we have emission factors well defined for all categories listed in Scope 1 emissions?'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400"/>
        <w:gridCol w:w="4160"/>
      </w:tblGrid>
      <w:tr>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Scope 1 source category</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Factor defined?</w:t>
            </w:r>
          </w:p>
        </w:tc>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4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energy_gas_landlord / _tenant (natural gas combustion)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Gross CV basis. Updated annually. Covers CO2 + CH4 + N2O.</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energy_oil_landlord (gas oil / fuel oil)</w:t>
            </w:r>
          </w:p>
        </w:tc>
        <w:tc>
          <w:tcPr>
            <w:tcW w:type="dxa" w:w="1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UK DEFRA</w:t>
            </w:r>
          </w:p>
        </w:tc>
        <w:tc>
          <w:tcPr>
            <w:tcW w:type="dxa" w:w="41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Multiple oil type factors; default to gas oil if type unspecified.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energy_other_landlord (biomass, LPG, etc.)</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Partial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LPG and biomass factors available. If fuel type in notes field is unrecognised, engine flags missing_factor.</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refrigerant_loss (HFCs/HFOs)</w:t>
            </w:r>
          </w:p>
        </w:tc>
        <w:tc>
          <w:tcPr>
            <w:tcW w:type="dxa" w:w="1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Yes — with caveat</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UK DEFRA / IPCC AR5 GWP100</w:t>
            </w:r>
          </w:p>
        </w:tc>
        <w:tc>
          <w:tcPr>
            <w:tcW w:type="dxa" w:w="41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Refrigerant type must be specified in notes on source record. If absent, engine defaults to R-410A (GWP 2088) and flags assumption.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Diesel generator (onsite generation)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(gas oil combustion)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Engine uses the gas oil combustion factor; generator fuel type should be confirmed in notes.</w:t>
            </w:r>
          </w:p>
        </w:tc>
      </w:tr>
      <w:tr>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Mobile combustion (fleet)</w:t>
            </w:r>
          </w:p>
        </w:tc>
        <w:tc>
          <w:tcPr>
            <w:tcW w:type="dxa" w:w="1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Partial</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UK DEFRA transport factors</w:t>
            </w:r>
          </w:p>
        </w:tc>
        <w:tc>
          <w:tcPr>
            <w:tcW w:type="dxa" w:w="41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color w:val="000000"/>
                <w:sz w:val="18"/>
                <w:szCs w:val="18"/>
              </w:rPr>
              <w:t xml:space="preserve">Vehicle type and fuel type required. If not specified in activity record, engine applies average car factor and flags as estimated.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Process emissions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Not yet seeded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UK DEFRA / custom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process emission activity records currently in the Data Library taxonomy. To be added in a future version when a specific use case is identified.</w:t>
            </w:r>
          </w:p>
        </w:tc>
      </w:tr>
    </w:tbl>
    <w:p>
      <w:pPr>
        <w:spacing w:before="60" w:after="60"/>
      </w:pPr>
      <w:r>
        <w:t xml:space="preserve"/>
      </w:r>
    </w:p>
    <w:p>
      <w:pPr>
        <w:spacing w:before="80" w:after="80"/>
      </w:pPr>
      <w:r>
        <w:rPr>
          <w:rFonts w:ascii="Arial" w:cs="Arial" w:eastAsia="Arial" w:hAnsi="Arial"/>
          <w:sz w:val="20"/>
          <w:szCs w:val="20"/>
        </w:rPr>
        <w:t xml:space="preserve">The short answer for Kajal: all common Scope 1 categories (gas, oil, refrigerants) have well-defined factors seeded from DEFRA. The caveats are that refrigerant type and fuel type must be specified in the source record's notes field for the engine to apply the correct factor. Missing or unrecognised types trigger a missing_factor warning rather than a silent fallback.</w:t>
      </w:r>
    </w:p>
    <w:p>
      <w:pPr>
        <w:spacing w:before="60" w:after="6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§10  Open Items &amp; v2 Scope</w:t>
      </w:r>
    </w:p>
    <w:p>
      <w:pPr>
        <w:pStyle w:val="ListParagraph"/>
        <w:numPr>
          <w:ilvl w:val="0"/>
          <w:numId w:val="2"/>
        </w:numPr>
        <w:spacing w:before="40" w:after="40"/>
      </w:pPr>
      <w:r>
        <w:rPr>
          <w:rFonts w:ascii="Arial" w:cs="Arial" w:eastAsia="Arial" w:hAnsi="Arial"/>
          <w:sz w:val="20"/>
          <w:szCs w:val="20"/>
        </w:rPr>
        <w:t xml:space="preserve">Multi-country factor sets: currently only UK DEFRA and EEIO are defined. Non-UK properties will need IEA grid factors and local equivalents. To be specced when the first non-UK asset is onboarded.</w:t>
      </w:r>
    </w:p>
    <w:p>
      <w:pPr>
        <w:pStyle w:val="ListParagraph"/>
        <w:numPr>
          <w:ilvl w:val="0"/>
          <w:numId w:val="2"/>
        </w:numPr>
        <w:spacing w:before="40" w:after="40"/>
      </w:pPr>
      <w:r>
        <w:rPr>
          <w:rFonts w:ascii="Arial" w:cs="Arial" w:eastAsia="Arial" w:hAnsi="Arial"/>
          <w:sz w:val="20"/>
          <w:szCs w:val="20"/>
        </w:rPr>
        <w:t xml:space="preserve">Market-based Scope 2 from supplier REGOs: the factor resolution logic supports market-based factors but the Account Admin UI for entering supplier-specific GO/REGO factors is not yet specced. Interim: Account Admin can insert a custom factor row into emission_factor_sets via the API.</w:t>
      </w:r>
    </w:p>
    <w:p>
      <w:pPr>
        <w:pStyle w:val="ListParagraph"/>
        <w:numPr>
          <w:ilvl w:val="0"/>
          <w:numId w:val="2"/>
        </w:numPr>
        <w:spacing w:before="40" w:after="40"/>
      </w:pPr>
      <w:r>
        <w:rPr>
          <w:rFonts w:ascii="Arial" w:cs="Arial" w:eastAsia="Arial" w:hAnsi="Arial"/>
          <w:sz w:val="20"/>
          <w:szCs w:val="20"/>
        </w:rPr>
        <w:t xml:space="preserve">Portfolio-level rollup: aggregate emissions across multiple properties. Deferred — all calculations are property-scoped in v1. To be specced alongside Data Library v5 portfolio module.</w:t>
      </w:r>
    </w:p>
    <w:p>
      <w:pPr>
        <w:pStyle w:val="ListParagraph"/>
        <w:numPr>
          <w:ilvl w:val="0"/>
          <w:numId w:val="2"/>
        </w:numPr>
        <w:spacing w:before="40" w:after="40"/>
      </w:pPr>
      <w:r>
        <w:rPr>
          <w:rFonts w:ascii="Arial" w:cs="Arial" w:eastAsia="Arial" w:hAnsi="Arial"/>
          <w:sz w:val="20"/>
          <w:szCs w:val="20"/>
        </w:rPr>
        <w:t xml:space="preserve">Automated DEFRA factor seeding: currently factors are manually inserted via SQL seed files. A future improvement is an automated job that fetches the latest DEFRA xlsx each March/April and updates emission_factor_sets without manual intervention.</w:t>
      </w:r>
    </w:p>
    <w:p>
      <w:pPr>
        <w:pStyle w:val="ListParagraph"/>
        <w:numPr>
          <w:ilvl w:val="0"/>
          <w:numId w:val="2"/>
        </w:numPr>
        <w:spacing w:before="40" w:after="40"/>
      </w:pPr>
      <w:r>
        <w:rPr>
          <w:rFonts w:ascii="Arial" w:cs="Arial" w:eastAsia="Arial" w:hAnsi="Arial"/>
          <w:sz w:val="20"/>
          <w:szCs w:val="20"/>
        </w:rPr>
        <w:t xml:space="preserve">Process emissions taxonomy: no Scope 1 process emission categories in the current Data Library taxonomy. To be added when a specific occupier use case requires it (e.g. refrigerant processing, chemical use).</w:t>
      </w:r>
    </w:p>
    <w:p>
      <w:pPr>
        <w:pStyle w:val="ListParagraph"/>
        <w:numPr>
          <w:ilvl w:val="0"/>
          <w:numId w:val="2"/>
        </w:numPr>
        <w:spacing w:before="40" w:after="40"/>
      </w:pPr>
      <w:r>
        <w:rPr>
          <w:rFonts w:ascii="Arial" w:cs="Arial" w:eastAsia="Arial" w:hAnsi="Arial"/>
          <w:sz w:val="20"/>
          <w:szCs w:val="20"/>
        </w:rPr>
        <w:t xml:space="preserve">Scope 3 Category 1 purchased goods (EEIO): spend-based factors are seeded but the activity data entry flow for purchased goods is not yet defined in the Data Library UI. To be addressed in the Indirect Activities UI spec.</w:t>
      </w:r>
    </w:p>
    <w:p>
      <w:pPr>
        <w:spacing w:before="60" w:after="60"/>
      </w:pPr>
      <w:r>
        <w:t xml:space="preserve"/>
      </w:r>
    </w:p>
    <w:p>
      <w:pPr>
        <w:pBdr>
          <w:top w:val="single" w:color="d1d5db" w:sz="2" w:space="4"/>
        </w:pBdr>
        <w:spacing w:before="400" w:after="80"/>
      </w:pPr>
      <w:r>
        <w:rPr>
          <w:rFonts w:ascii="Arial" w:cs="Arial" w:eastAsia="Arial" w:hAnsi="Arial"/>
          <w:i/>
          <w:iCs/>
          <w:color w:val="6b7280"/>
          <w:sz w:val="18"/>
          <w:szCs w:val="18"/>
        </w:rPr>
        <w:t xml:space="preserve">End of Specification — Secure SoR Emissions Engine v1.0 —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2" w:space="4"/>
      </w:pBdr>
    </w:pPr>
    <w:r>
      <w:rPr>
        <w:rFonts w:ascii="Arial" w:cs="Arial" w:eastAsia="Arial" w:hAnsi="Arial"/>
        <w:color w:val="6b7280"/>
        <w:sz w:val="16"/>
        <w:szCs w:val="16"/>
      </w:rPr>
      <w:t xml:space="preserve">Confidential — Apex Group / Omega Team</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2" w:space="4"/>
      </w:pBdr>
    </w:pPr>
    <w:r>
      <w:rPr>
        <w:rFonts w:ascii="Arial" w:cs="Arial" w:eastAsia="Arial" w:hAnsi="Arial"/>
        <w:color w:val="6b7280"/>
        <w:sz w:val="16"/>
        <w:szCs w:val="16"/>
      </w:rPr>
      <w:t xml:space="preserve">SECURE  |  Building Data Platform  |  Emissions Engine Specification v1.0</w:t>
    </w:r>
    <w:r>
      <w:rPr>
        <w:rFonts w:ascii="Arial" w:cs="Arial" w:eastAsia="Arial" w:hAnsi="Arial"/>
        <w:i/>
        <w:iCs/>
        <w:color w:val="6b7280"/>
        <w:sz w:val="16"/>
        <w:szCs w:val="16"/>
      </w:rPr>
      <w:t xml:space="preserve">  |  DRAFT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4f46e5"/>
      <w:sz w:val="22"/>
      <w:szCs w:val="22"/>
    </w:rPr>
  </w:style>
  <w:style w:type="paragraph" w:styleId="Heading3">
    <w:name w:val="Heading 3"/>
    <w:basedOn w:val="Normal"/>
    <w:next w:val="Normal"/>
    <w:qFormat/>
    <w:pPr>
      <w:spacing w:before="200" w:after="80"/>
      <w:outlineLvl w:val="2"/>
    </w:pPr>
    <w:rPr>
      <w:rFonts w:ascii="Arial" w:cs="Arial" w:eastAsia="Arial" w:hAnsi="Arial"/>
      <w:b/>
      <w:bCs/>
      <w:color w:val="1a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2026-03-16T17:55:27.440Z</dcterms:created>
  <dcterms:modified xsi:type="dcterms:W3CDTF">2026-03-16T17:55:27.442Z</dcterms:modified>
</cp:coreProperties>
</file>

<file path=docProps/custom.xml><?xml version="1.0" encoding="utf-8"?>
<Properties xmlns="http://schemas.openxmlformats.org/officeDocument/2006/custom-properties" xmlns:vt="http://schemas.openxmlformats.org/officeDocument/2006/docPropsVTypes"/>
</file>