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400" w:after="80"/>
      </w:pPr>
      <w:r>
        <w:rPr>
          <w:rFonts w:ascii="Arial" w:cs="Arial" w:eastAsia="Arial" w:hAnsi="Arial"/>
          <w:b/>
          <w:bCs/>
          <w:color w:val="4f46e5"/>
          <w:sz w:val="52"/>
          <w:szCs w:val="52"/>
        </w:rPr>
        <w:t xml:space="preserve">SECURE</w:t>
      </w:r>
    </w:p>
    <w:p>
      <w:pPr>
        <w:spacing w:before="0" w:after="80"/>
      </w:pPr>
      <w:r>
        <w:rPr>
          <w:rFonts w:ascii="Arial" w:cs="Arial" w:eastAsia="Arial" w:hAnsi="Arial"/>
          <w:color w:val="6b7280"/>
          <w:sz w:val="28"/>
          <w:szCs w:val="28"/>
        </w:rPr>
        <w:t xml:space="preserve">Building Data Platform</w:t>
      </w:r>
    </w:p>
    <w:p>
      <w:pPr>
        <w:pBdr>
          <w:bottom w:val="single" w:color="4f46e5" w:sz="6" w:space="4"/>
        </w:pBdr>
        <w:spacing w:before="0" w:after="200"/>
      </w:pPr>
      <w:r>
        <w:rPr>
          <w:rFonts w:ascii="Arial" w:cs="Arial" w:eastAsia="Arial" w:hAnsi="Arial"/>
          <w:b/>
          <w:bCs/>
          <w:color w:val="1a1a2e"/>
          <w:sz w:val="36"/>
          <w:szCs w:val="36"/>
        </w:rPr>
        <w:t xml:space="preserve">Data Library — Engineering Specification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4f46e5" w:val="clear"/>
            <w:tcMar>
              <w:top w:type="dxa" w:w="100"/>
              <w:left w:type="dxa" w:w="150"/>
              <w:bottom w:type="dxa" w:w="100"/>
              <w:right w:type="dxa" w:w="150"/>
            </w:tcMar>
          </w:tcPr>
          <w:p>
            <w:r>
              <w:rPr>
                <w:rFonts w:ascii="Arial" w:cs="Arial" w:eastAsia="Arial" w:hAnsi="Arial"/>
                <w:b/>
                <w:bCs/>
                <w:color w:val="FFFFFF"/>
                <w:sz w:val="18"/>
                <w:szCs w:val="18"/>
              </w:rPr>
              <w:t xml:space="preserve">Status</w:t>
            </w:r>
          </w:p>
        </w:tc>
        <w:tc>
          <w:tcPr>
            <w:tcW w:type="dxa" w:w="2340"/>
            <w:tcBorders>
              <w:top w:val="single" w:color="d1d5db" w:sz="1"/>
              <w:left w:val="single" w:color="d1d5db" w:sz="1"/>
              <w:bottom w:val="single" w:color="d1d5db" w:sz="1"/>
              <w:right w:val="single" w:color="d1d5db" w:sz="1"/>
            </w:tcBorders>
            <w:shd w:fill="4f46e5" w:val="clear"/>
            <w:tcMar>
              <w:top w:type="dxa" w:w="100"/>
              <w:left w:type="dxa" w:w="150"/>
              <w:bottom w:type="dxa" w:w="100"/>
              <w:right w:type="dxa" w:w="150"/>
            </w:tcMar>
          </w:tcPr>
          <w:p>
            <w:r>
              <w:rPr>
                <w:rFonts w:ascii="Arial" w:cs="Arial" w:eastAsia="Arial" w:hAnsi="Arial"/>
                <w:b/>
                <w:bCs/>
                <w:color w:val="FFFFFF"/>
                <w:sz w:val="18"/>
                <w:szCs w:val="18"/>
              </w:rPr>
              <w:t xml:space="preserve">Date</w:t>
            </w:r>
          </w:p>
        </w:tc>
        <w:tc>
          <w:tcPr>
            <w:tcW w:type="dxa" w:w="2340"/>
            <w:tcBorders>
              <w:top w:val="single" w:color="d1d5db" w:sz="1"/>
              <w:left w:val="single" w:color="d1d5db" w:sz="1"/>
              <w:bottom w:val="single" w:color="d1d5db" w:sz="1"/>
              <w:right w:val="single" w:color="d1d5db" w:sz="1"/>
            </w:tcBorders>
            <w:shd w:fill="4f46e5" w:val="clear"/>
            <w:tcMar>
              <w:top w:type="dxa" w:w="100"/>
              <w:left w:type="dxa" w:w="150"/>
              <w:bottom w:type="dxa" w:w="100"/>
              <w:right w:type="dxa" w:w="150"/>
            </w:tcMar>
          </w:tcPr>
          <w:p>
            <w:r>
              <w:rPr>
                <w:rFonts w:ascii="Arial" w:cs="Arial" w:eastAsia="Arial" w:hAnsi="Arial"/>
                <w:b/>
                <w:bCs/>
                <w:color w:val="FFFFFF"/>
                <w:sz w:val="18"/>
                <w:szCs w:val="18"/>
              </w:rPr>
              <w:t xml:space="preserve">Owner</w:t>
            </w:r>
          </w:p>
        </w:tc>
        <w:tc>
          <w:tcPr>
            <w:tcW w:type="dxa" w:w="2340"/>
            <w:tcBorders>
              <w:top w:val="single" w:color="d1d5db" w:sz="1"/>
              <w:left w:val="single" w:color="d1d5db" w:sz="1"/>
              <w:bottom w:val="single" w:color="d1d5db" w:sz="1"/>
              <w:right w:val="single" w:color="d1d5db" w:sz="1"/>
            </w:tcBorders>
            <w:shd w:fill="4f46e5" w:val="clear"/>
            <w:tcMar>
              <w:top w:type="dxa" w:w="100"/>
              <w:left w:type="dxa" w:w="150"/>
              <w:bottom w:type="dxa" w:w="100"/>
              <w:right w:type="dxa" w:w="150"/>
            </w:tcMar>
          </w:tcPr>
          <w:p>
            <w:r>
              <w:rPr>
                <w:rFonts w:ascii="Arial" w:cs="Arial" w:eastAsia="Arial" w:hAnsi="Arial"/>
                <w:b/>
                <w:bCs/>
                <w:color w:val="FFFFFF"/>
                <w:sz w:val="18"/>
                <w:szCs w:val="18"/>
              </w:rPr>
              <w:t xml:space="preserve">Repo</w:t>
            </w:r>
          </w:p>
        </w:tc>
      </w:tr>
      <w:tr>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sz w:val="18"/>
                <w:szCs w:val="18"/>
              </w:rPr>
              <w:t xml:space="preserve">DRAFT v4.0</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sz w:val="18"/>
                <w:szCs w:val="18"/>
              </w:rPr>
              <w:t xml:space="preserve">March 2026</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sz w:val="18"/>
                <w:szCs w:val="18"/>
              </w:rPr>
              <w:t xml:space="preserve">Anne</w:t>
            </w:r>
          </w:p>
        </w:tc>
        <w:tc>
          <w:tcPr>
            <w:tcW w:type="dxa" w:w="234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sz w:val="18"/>
                <w:szCs w:val="18"/>
              </w:rPr>
              <w:t xml:space="preserve">Secure-SoR-backend</w:t>
            </w:r>
          </w:p>
        </w:tc>
      </w:tr>
    </w:tbl>
    <w:p>
      <w:pPr>
        <w:spacing w:before="80" w:after="80"/>
      </w:pPr>
      <w:r>
        <w:t xml:space="preserve"/>
      </w:r>
    </w:p>
    <w:p>
      <w:pPr>
        <w:pStyle w:val="Heading2"/>
        <w:spacing w:before="280" w:after="120"/>
      </w:pPr>
      <w:r>
        <w:rPr>
          <w:rFonts w:ascii="Arial" w:cs="Arial" w:eastAsia="Arial" w:hAnsi="Arial"/>
          <w:b/>
          <w:bCs/>
          <w:color w:val="4f46e5"/>
          <w:sz w:val="22"/>
          <w:szCs w:val="2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5460"/>
      </w:tblGrid>
      <w:tr>
        <w:tc>
          <w:tcPr>
            <w:tcW w:type="dxa" w:w="15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54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Changes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v1.0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Jan 2026</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Anne</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Initial draft</w:t>
            </w:r>
          </w:p>
        </w:tc>
      </w:tr>
      <w:tr>
        <w:tc>
          <w:tcPr>
            <w:tcW w:type="dxa" w:w="15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v2.0</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Feb 2026</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Anne</w:t>
            </w:r>
          </w:p>
        </w:tc>
        <w:tc>
          <w:tcPr>
            <w:tcW w:type="dxa" w:w="54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API endpoints and schema expanded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v3.0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Mar 2026</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Anne</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Coverage Engine, agent write-back, audit trail</w:t>
            </w:r>
          </w:p>
        </w:tc>
      </w:tr>
      <w:tr>
        <w:tc>
          <w:tcPr>
            <w:tcW w:type="dxa" w:w="15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v4.0</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Mar 2026</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Anne</w:t>
            </w:r>
          </w:p>
        </w:tc>
        <w:tc>
          <w:tcPr>
            <w:tcW w:type="dxa" w:w="54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Tenant/landlord taxonomy, confidence rules, waste streams, Scope 3 categories, Shared Data definition</w:t>
            </w:r>
          </w:p>
        </w:tc>
      </w:tr>
    </w:tbl>
    <w:p>
      <w:pPr>
        <w:spacing w:before="80" w:after="8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§0  Feature Overview</w:t>
      </w:r>
    </w:p>
    <w:p>
      <w:pPr>
        <w:pStyle w:val="Heading2"/>
        <w:spacing w:before="280" w:after="120"/>
      </w:pPr>
      <w:r>
        <w:rPr>
          <w:rFonts w:ascii="Arial" w:cs="Arial" w:eastAsia="Arial" w:hAnsi="Arial"/>
          <w:b/>
          <w:bCs/>
          <w:color w:val="4f46e5"/>
          <w:sz w:val="22"/>
          <w:szCs w:val="22"/>
        </w:rPr>
        <w:t xml:space="preserve">0.1  Purpose</w:t>
      </w:r>
    </w:p>
    <w:p>
      <w:pPr>
        <w:spacing w:before="80" w:after="80"/>
      </w:pPr>
      <w:r>
        <w:rPr>
          <w:rFonts w:ascii="Arial" w:cs="Arial" w:eastAsia="Arial" w:hAnsi="Arial"/>
          <w:sz w:val="20"/>
          <w:szCs w:val="20"/>
        </w:rPr>
        <w:t xml:space="preserve">The Data Library is the Activity Data primitive of the Secure Building Data Platform. It is the single authorised store for all metered, invoiced, or calculated consumption data across energy, water, waste, and emissions for every property in an account. Every downstream module — the ESG Report, the Compliance module, the Risk module, and all AI agents — reads from the Data Library and never stores its own copy of activity data.</w:t>
      </w:r>
    </w:p>
    <w:p>
      <w:pPr>
        <w:pStyle w:val="Heading2"/>
        <w:spacing w:before="280" w:after="120"/>
      </w:pPr>
      <w:r>
        <w:rPr>
          <w:rFonts w:ascii="Arial" w:cs="Arial" w:eastAsia="Arial" w:hAnsi="Arial"/>
          <w:b/>
          <w:bCs/>
          <w:color w:val="4f46e5"/>
          <w:sz w:val="22"/>
          <w:szCs w:val="22"/>
        </w:rPr>
        <w:t xml:space="preserve">0.2  Business Problem Solved</w:t>
      </w:r>
    </w:p>
    <w:p>
      <w:pPr>
        <w:spacing w:before="80" w:after="80"/>
      </w:pPr>
      <w:r>
        <w:rPr>
          <w:rFonts w:ascii="Arial" w:cs="Arial" w:eastAsia="Arial" w:hAnsi="Arial"/>
          <w:sz w:val="20"/>
          <w:szCs w:val="20"/>
        </w:rPr>
        <w:t xml:space="preserve">Real estate owners and operators face three interconnected data quality problems that block ESG reporting and regulatory compliance:</w:t>
      </w:r>
    </w:p>
    <w:p>
      <w:pPr>
        <w:pStyle w:val="ListParagraph"/>
        <w:numPr>
          <w:ilvl w:val="0"/>
          <w:numId w:val="2"/>
        </w:numPr>
        <w:spacing w:before="40" w:after="40"/>
      </w:pPr>
      <w:r>
        <w:rPr>
          <w:rFonts w:ascii="Arial" w:cs="Arial" w:eastAsia="Arial" w:hAnsi="Arial"/>
          <w:sz w:val="20"/>
          <w:szCs w:val="20"/>
        </w:rPr>
        <w:t xml:space="preserve">Fragmentation: utility data arrives from dozens of sources (meters, invoices, BMS exports, manual reads) with no common schema or audit trail.</w:t>
      </w:r>
    </w:p>
    <w:p>
      <w:pPr>
        <w:pStyle w:val="ListParagraph"/>
        <w:numPr>
          <w:ilvl w:val="0"/>
          <w:numId w:val="2"/>
        </w:numPr>
        <w:spacing w:before="40" w:after="40"/>
      </w:pPr>
      <w:r>
        <w:rPr>
          <w:rFonts w:ascii="Arial" w:cs="Arial" w:eastAsia="Arial" w:hAnsi="Arial"/>
          <w:sz w:val="20"/>
          <w:szCs w:val="20"/>
        </w:rPr>
        <w:t xml:space="preserve">Lack of evidence linkage: numbers in reports cannot be traced back to a source document, making them unauditable.</w:t>
      </w:r>
    </w:p>
    <w:p>
      <w:pPr>
        <w:pStyle w:val="ListParagraph"/>
        <w:numPr>
          <w:ilvl w:val="0"/>
          <w:numId w:val="2"/>
        </w:numPr>
        <w:spacing w:before="40" w:after="40"/>
      </w:pPr>
      <w:r>
        <w:rPr>
          <w:rFonts w:ascii="Arial" w:cs="Arial" w:eastAsia="Arial" w:hAnsi="Arial"/>
          <w:sz w:val="20"/>
          <w:szCs w:val="20"/>
        </w:rPr>
        <w:t xml:space="preserve">Confidence opacity: estimated and allocated figures are mixed with measured data without disclosure, invalidating methodology statements required by SECR, GRESB, and GRI.</w:t>
      </w:r>
    </w:p>
    <w:p>
      <w:pPr>
        <w:spacing w:before="80" w:after="80"/>
      </w:pPr>
      <w:r>
        <w:rPr>
          <w:rFonts w:ascii="Arial" w:cs="Arial" w:eastAsia="Arial" w:hAnsi="Arial"/>
          <w:sz w:val="20"/>
          <w:szCs w:val="20"/>
        </w:rPr>
        <w:t xml:space="preserve">The Data Library solves these by providing: a canonical subject_category taxonomy (including tenant/landlord segregation); a three-layer validation model; a two-layer confidence system (source-driven default + user confirmation); waste stream sub-type support; full Scope 3 category coverage; and a Shared Data mechanism for third-party contributed data.</w:t>
      </w:r>
    </w:p>
    <w:p>
      <w:pPr>
        <w:pStyle w:val="Heading2"/>
        <w:spacing w:before="280" w:after="120"/>
      </w:pPr>
      <w:r>
        <w:rPr>
          <w:rFonts w:ascii="Arial" w:cs="Arial" w:eastAsia="Arial" w:hAnsi="Arial"/>
          <w:b/>
          <w:bCs/>
          <w:color w:val="4f46e5"/>
          <w:sz w:val="22"/>
          <w:szCs w:val="22"/>
        </w:rPr>
        <w:t xml:space="preserve">0.3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5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Typical Action</w:t>
            </w:r>
          </w:p>
        </w:tc>
        <w:tc>
          <w:tcPr>
            <w:tcW w:type="dxa" w:w="26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Permission Level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Sustainability Manager</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Upload utility invoices, validate records, run coverage checks</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member + validator</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ESG Analyst</w:t>
            </w:r>
          </w:p>
        </w:tc>
        <w:tc>
          <w:tcPr>
            <w:tcW w:type="dxa" w:w="45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Review consumption data, attach evidence, flag discrepancies</w:t>
            </w:r>
          </w:p>
        </w:tc>
        <w:tc>
          <w:tcPr>
            <w:tcW w:type="dxa" w:w="26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member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Asset Manager</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View property coverage, drill into gaps</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member (read-heavy)</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Data Entry Operator</w:t>
            </w:r>
          </w:p>
        </w:tc>
        <w:tc>
          <w:tcPr>
            <w:tcW w:type="dxa" w:w="45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Create records manually or via bulk import</w:t>
            </w:r>
          </w:p>
        </w:tc>
        <w:tc>
          <w:tcPr>
            <w:tcW w:type="dxa" w:w="26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member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AI Agent (system)</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Write agent_findings, trigger Coverage Engine updates</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service role</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External Auditor</w:t>
            </w:r>
          </w:p>
        </w:tc>
        <w:tc>
          <w:tcPr>
            <w:tcW w:type="dxa" w:w="45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Read validated records and their evidence chain</w:t>
            </w:r>
          </w:p>
        </w:tc>
        <w:tc>
          <w:tcPr>
            <w:tcW w:type="dxa" w:w="26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read-only / auditor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Account Admin</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Manage users, configure emission factors, set targets</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Third-Party Contributor</w:t>
            </w:r>
          </w:p>
        </w:tc>
        <w:tc>
          <w:tcPr>
            <w:tcW w:type="dxa" w:w="45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Submit Shared Data records on behalf of account via API</w:t>
            </w:r>
          </w:p>
        </w:tc>
        <w:tc>
          <w:tcPr>
            <w:tcW w:type="dxa" w:w="26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shared_data role</w:t>
            </w:r>
          </w:p>
        </w:tc>
      </w:tr>
    </w:tbl>
    <w:p>
      <w:pPr>
        <w:spacing w:before="80" w:after="80"/>
      </w:pPr>
      <w:r>
        <w:t xml:space="preserve"/>
      </w:r>
    </w:p>
    <w:p>
      <w:pPr>
        <w:pStyle w:val="Heading2"/>
        <w:spacing w:before="280" w:after="120"/>
      </w:pPr>
      <w:r>
        <w:rPr>
          <w:rFonts w:ascii="Arial" w:cs="Arial" w:eastAsia="Arial" w:hAnsi="Arial"/>
          <w:b/>
          <w:bCs/>
          <w:color w:val="4f46e5"/>
          <w:sz w:val="22"/>
          <w:szCs w:val="22"/>
        </w:rPr>
        <w:t xml:space="preserve">0.4  What is New in v4</w:t>
      </w:r>
    </w:p>
    <w:p>
      <w:pPr>
        <w:pStyle w:val="ListParagraph"/>
        <w:numPr>
          <w:ilvl w:val="0"/>
          <w:numId w:val="2"/>
        </w:numPr>
        <w:spacing w:before="40" w:after="40"/>
      </w:pPr>
      <w:r>
        <w:rPr>
          <w:rFonts w:ascii="Arial" w:cs="Arial" w:eastAsia="Arial" w:hAnsi="Arial"/>
          <w:sz w:val="20"/>
          <w:szCs w:val="20"/>
        </w:rPr>
        <w:t xml:space="preserve">subject_category taxonomy extended with tenant/landlord/shared sub-types for all applicable energy and water categories</w:t>
      </w:r>
    </w:p>
    <w:p>
      <w:pPr>
        <w:pStyle w:val="ListParagraph"/>
        <w:numPr>
          <w:ilvl w:val="0"/>
          <w:numId w:val="2"/>
        </w:numPr>
        <w:spacing w:before="40" w:after="40"/>
      </w:pPr>
      <w:r>
        <w:rPr>
          <w:rFonts w:ascii="Arial" w:cs="Arial" w:eastAsia="Arial" w:hAnsi="Arial"/>
          <w:sz w:val="20"/>
          <w:szCs w:val="20"/>
        </w:rPr>
        <w:t xml:space="preserve">Confidence level assignment: two-layer model (data_source default + user confirmation). Rules defined per source type.</w:t>
      </w:r>
    </w:p>
    <w:p>
      <w:pPr>
        <w:pStyle w:val="ListParagraph"/>
        <w:numPr>
          <w:ilvl w:val="0"/>
          <w:numId w:val="2"/>
        </w:numPr>
        <w:spacing w:before="40" w:after="40"/>
      </w:pPr>
      <w:r>
        <w:rPr>
          <w:rFonts w:ascii="Arial" w:cs="Arial" w:eastAsia="Arial" w:hAnsi="Arial"/>
          <w:sz w:val="20"/>
          <w:szCs w:val="20"/>
        </w:rPr>
        <w:t xml:space="preserve">waste_stream_type field added to data_library_records for material-level waste sub-classification</w:t>
      </w:r>
    </w:p>
    <w:p>
      <w:pPr>
        <w:pStyle w:val="ListParagraph"/>
        <w:numPr>
          <w:ilvl w:val="0"/>
          <w:numId w:val="2"/>
        </w:numPr>
        <w:spacing w:before="40" w:after="40"/>
      </w:pPr>
      <w:r>
        <w:rPr>
          <w:rFonts w:ascii="Arial" w:cs="Arial" w:eastAsia="Arial" w:hAnsi="Arial"/>
          <w:sz w:val="20"/>
          <w:szCs w:val="20"/>
        </w:rPr>
        <w:t xml:space="preserve">Scope 3 taxonomy extended: commuting, waste disposal, water treatment, upstream energy, business travel</w:t>
      </w:r>
    </w:p>
    <w:p>
      <w:pPr>
        <w:pStyle w:val="ListParagraph"/>
        <w:numPr>
          <w:ilvl w:val="0"/>
          <w:numId w:val="2"/>
        </w:numPr>
        <w:spacing w:before="40" w:after="40"/>
      </w:pPr>
      <w:r>
        <w:rPr>
          <w:rFonts w:ascii="Arial" w:cs="Arial" w:eastAsia="Arial" w:hAnsi="Arial"/>
          <w:sz w:val="20"/>
          <w:szCs w:val="20"/>
        </w:rPr>
        <w:t xml:space="preserve">Scope 1 emissions split into emissions_scope1_landlord and emissions_scope1_tenant (GRESB boundary compliance)</w:t>
      </w:r>
    </w:p>
    <w:p>
      <w:pPr>
        <w:pStyle w:val="ListParagraph"/>
        <w:numPr>
          <w:ilvl w:val="0"/>
          <w:numId w:val="2"/>
        </w:numPr>
        <w:spacing w:before="40" w:after="40"/>
      </w:pPr>
      <w:r>
        <w:rPr>
          <w:rFonts w:ascii="Arial" w:cs="Arial" w:eastAsia="Arial" w:hAnsi="Arial"/>
          <w:sz w:val="20"/>
          <w:szCs w:val="20"/>
        </w:rPr>
        <w:t xml:space="preserve">Shared Data defined: records contributed by external third parties not part of the Secure account, ingested via a dedicated API endpoint with explicit provenance tagging</w:t>
      </w:r>
    </w:p>
    <w:p>
      <w:pPr>
        <w:pStyle w:val="ListParagraph"/>
        <w:numPr>
          <w:ilvl w:val="0"/>
          <w:numId w:val="2"/>
        </w:numPr>
        <w:spacing w:before="40" w:after="40"/>
      </w:pPr>
      <w:r>
        <w:rPr>
          <w:rFonts w:ascii="Arial" w:cs="Arial" w:eastAsia="Arial" w:hAnsi="Arial"/>
          <w:sz w:val="20"/>
          <w:szCs w:val="20"/>
        </w:rPr>
        <w:t xml:space="preserve">Portfolio-level aggregation deferred to v5. All data remains property-scoped in v4.</w:t>
      </w:r>
    </w:p>
    <w:p>
      <w:pPr>
        <w:spacing w:before="80" w:after="8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§1  Functional Requirements</w:t>
      </w:r>
    </w:p>
    <w:p>
      <w:pPr>
        <w:pStyle w:val="Heading2"/>
        <w:spacing w:before="280" w:after="120"/>
      </w:pPr>
      <w:r>
        <w:rPr>
          <w:rFonts w:ascii="Arial" w:cs="Arial" w:eastAsia="Arial" w:hAnsi="Arial"/>
          <w:b/>
          <w:bCs/>
          <w:color w:val="4f46e5"/>
          <w:sz w:val="22"/>
          <w:szCs w:val="22"/>
        </w:rPr>
        <w:t xml:space="preserve">1.1  Record Creation</w:t>
      </w:r>
    </w:p>
    <w:p>
      <w:pPr>
        <w:pStyle w:val="Heading3"/>
        <w:spacing w:before="200" w:after="80"/>
      </w:pPr>
      <w:r>
        <w:rPr>
          <w:rFonts w:ascii="Arial" w:cs="Arial" w:eastAsia="Arial" w:hAnsi="Arial"/>
          <w:b/>
          <w:bCs/>
          <w:color w:val="1a1a2e"/>
          <w:sz w:val="20"/>
          <w:szCs w:val="20"/>
        </w:rPr>
        <w:t xml:space="preserve">1.1.1  Manual Entry</w:t>
      </w:r>
    </w:p>
    <w:p>
      <w:pPr>
        <w:spacing w:before="80" w:after="80"/>
      </w:pPr>
      <w:r>
        <w:rPr>
          <w:rFonts w:ascii="Arial" w:cs="Arial" w:eastAsia="Arial" w:hAnsi="Arial"/>
          <w:sz w:val="20"/>
          <w:szCs w:val="20"/>
        </w:rPr>
        <w:t xml:space="preserve">1. User navigates to /data-library and clicks Add Record.</w:t>
      </w:r>
    </w:p>
    <w:p>
      <w:pPr>
        <w:spacing w:before="80" w:after="80"/>
      </w:pPr>
      <w:r>
        <w:rPr>
          <w:rFonts w:ascii="Arial" w:cs="Arial" w:eastAsia="Arial" w:hAnsi="Arial"/>
          <w:sz w:val="20"/>
          <w:szCs w:val="20"/>
        </w:rPr>
        <w:t xml:space="preserve">2. System presents a form with fields: property, subject_category, period (start/end date), quantity, unit, data_source, confidence_level (with system suggestion — see §4.3), waste_stream_type (conditional on waste categories), notes.</w:t>
      </w:r>
    </w:p>
    <w:p>
      <w:pPr>
        <w:spacing w:before="80" w:after="80"/>
      </w:pPr>
      <w:r>
        <w:rPr>
          <w:rFonts w:ascii="Arial" w:cs="Arial" w:eastAsia="Arial" w:hAnsi="Arial"/>
          <w:sz w:val="20"/>
          <w:szCs w:val="20"/>
        </w:rPr>
        <w:t xml:space="preserve">3. User completes all required fields and submits.</w:t>
      </w:r>
    </w:p>
    <w:p>
      <w:pPr>
        <w:spacing w:before="80" w:after="80"/>
      </w:pPr>
      <w:r>
        <w:rPr>
          <w:rFonts w:ascii="Arial" w:cs="Arial" w:eastAsia="Arial" w:hAnsi="Arial"/>
          <w:sz w:val="20"/>
          <w:szCs w:val="20"/>
        </w:rPr>
        <w:t xml:space="preserve">4. System validates: account ownership of property, non-overlapping period for same category (warn, not block), unit compatibility with subject_category.</w:t>
      </w:r>
    </w:p>
    <w:p>
      <w:pPr>
        <w:spacing w:before="80" w:after="80"/>
      </w:pPr>
      <w:r>
        <w:rPr>
          <w:rFonts w:ascii="Arial" w:cs="Arial" w:eastAsia="Arial" w:hAnsi="Arial"/>
          <w:sz w:val="20"/>
          <w:szCs w:val="20"/>
        </w:rPr>
        <w:t xml:space="preserve">5. System creates a data_library_records row with validation_status = unvalidated, writes audit_events row (action = record_created).</w:t>
      </w:r>
    </w:p>
    <w:p>
      <w:pPr>
        <w:spacing w:before="80" w:after="80"/>
      </w:pPr>
      <w:r>
        <w:rPr>
          <w:rFonts w:ascii="Arial" w:cs="Arial" w:eastAsia="Arial" w:hAnsi="Arial"/>
          <w:sz w:val="20"/>
          <w:szCs w:val="20"/>
        </w:rPr>
        <w:t xml:space="preserve">6. System triggers Coverage Engine evaluate(propertyId, period).</w:t>
      </w:r>
    </w:p>
    <w:p>
      <w:pPr>
        <w:spacing w:before="80" w:after="80"/>
      </w:pPr>
      <w:r>
        <w:rPr>
          <w:rFonts w:ascii="Arial" w:cs="Arial" w:eastAsia="Arial" w:hAnsi="Arial"/>
          <w:sz w:val="20"/>
          <w:szCs w:val="20"/>
        </w:rPr>
        <w:t xml:space="preserve">7. UI refreshes the record list and opens the new record detail panel.</w:t>
      </w:r>
    </w:p>
    <w:p>
      <w:pPr>
        <w:pStyle w:val="Heading3"/>
        <w:spacing w:before="200" w:after="80"/>
      </w:pPr>
      <w:r>
        <w:rPr>
          <w:rFonts w:ascii="Arial" w:cs="Arial" w:eastAsia="Arial" w:hAnsi="Arial"/>
          <w:b/>
          <w:bCs/>
          <w:color w:val="1a1a2e"/>
          <w:sz w:val="20"/>
          <w:szCs w:val="20"/>
        </w:rPr>
        <w:t xml:space="preserve">1.1.2  Bulk CSV Import</w:t>
      </w:r>
    </w:p>
    <w:p>
      <w:pPr>
        <w:spacing w:before="80" w:after="80"/>
      </w:pPr>
      <w:r>
        <w:rPr>
          <w:rFonts w:ascii="Arial" w:cs="Arial" w:eastAsia="Arial" w:hAnsi="Arial"/>
          <w:sz w:val="20"/>
          <w:szCs w:val="20"/>
        </w:rPr>
        <w:t xml:space="preserve">8. User uploads a CSV file conforming to the import template.</w:t>
      </w:r>
    </w:p>
    <w:p>
      <w:pPr>
        <w:spacing w:before="80" w:after="80"/>
      </w:pPr>
      <w:r>
        <w:rPr>
          <w:rFonts w:ascii="Arial" w:cs="Arial" w:eastAsia="Arial" w:hAnsi="Arial"/>
          <w:sz w:val="20"/>
          <w:szCs w:val="20"/>
        </w:rPr>
        <w:t xml:space="preserve">9. System parses and validates all rows; returns a preview table showing pass/fail per row with error messages.</w:t>
      </w:r>
    </w:p>
    <w:p>
      <w:pPr>
        <w:spacing w:before="80" w:after="80"/>
      </w:pPr>
      <w:r>
        <w:rPr>
          <w:rFonts w:ascii="Arial" w:cs="Arial" w:eastAsia="Arial" w:hAnsi="Arial"/>
          <w:sz w:val="20"/>
          <w:szCs w:val="20"/>
        </w:rPr>
        <w:t xml:space="preserve">10. User confirms import of valid rows (may de-select specific rows).</w:t>
      </w:r>
    </w:p>
    <w:p>
      <w:pPr>
        <w:spacing w:before="80" w:after="80"/>
      </w:pPr>
      <w:r>
        <w:rPr>
          <w:rFonts w:ascii="Arial" w:cs="Arial" w:eastAsia="Arial" w:hAnsi="Arial"/>
          <w:sz w:val="20"/>
          <w:szCs w:val="20"/>
        </w:rPr>
        <w:t xml:space="preserve">11. System batch-inserts valid rows, writes one audit_events row per record, triggers Coverage Engine for each affected property+period.</w:t>
      </w:r>
    </w:p>
    <w:p>
      <w:pPr>
        <w:spacing w:before="80" w:after="80"/>
      </w:pPr>
      <w:r>
        <w:rPr>
          <w:rFonts w:ascii="Arial" w:cs="Arial" w:eastAsia="Arial" w:hAnsi="Arial"/>
          <w:sz w:val="20"/>
          <w:szCs w:val="20"/>
        </w:rPr>
        <w:t xml:space="preserve">12. System returns an import summary: rows_imported, rows_failed, warnings.</w:t>
      </w:r>
    </w:p>
    <w:p>
      <w:pPr>
        <w:pStyle w:val="Heading3"/>
        <w:spacing w:before="200" w:after="80"/>
      </w:pPr>
      <w:r>
        <w:rPr>
          <w:rFonts w:ascii="Arial" w:cs="Arial" w:eastAsia="Arial" w:hAnsi="Arial"/>
          <w:b/>
          <w:bCs/>
          <w:color w:val="1a1a2e"/>
          <w:sz w:val="20"/>
          <w:szCs w:val="20"/>
        </w:rPr>
        <w:t xml:space="preserve">1.1.3  Agent Write-Back</w:t>
      </w:r>
    </w:p>
    <w:p>
      <w:pPr>
        <w:spacing w:before="80" w:after="80"/>
      </w:pPr>
      <w:r>
        <w:rPr>
          <w:rFonts w:ascii="Arial" w:cs="Arial" w:eastAsia="Arial" w:hAnsi="Arial"/>
          <w:sz w:val="20"/>
          <w:szCs w:val="20"/>
        </w:rPr>
        <w:t xml:space="preserve">13. An AI agent completes an analysis run.</w:t>
      </w:r>
    </w:p>
    <w:p>
      <w:pPr>
        <w:spacing w:before="80" w:after="80"/>
      </w:pPr>
      <w:r>
        <w:rPr>
          <w:rFonts w:ascii="Arial" w:cs="Arial" w:eastAsia="Arial" w:hAnsi="Arial"/>
          <w:sz w:val="20"/>
          <w:szCs w:val="20"/>
        </w:rPr>
        <w:t xml:space="preserve">14. Agent writes to agent_findings with finding_type in (validation_gap, evidence_missing, validation_rejected_blocker), linked to the relevant record_id.</w:t>
      </w:r>
    </w:p>
    <w:p>
      <w:pPr>
        <w:spacing w:before="80" w:after="80"/>
      </w:pPr>
      <w:r>
        <w:rPr>
          <w:rFonts w:ascii="Arial" w:cs="Arial" w:eastAsia="Arial" w:hAnsi="Arial"/>
          <w:sz w:val="20"/>
          <w:szCs w:val="20"/>
        </w:rPr>
        <w:t xml:space="preserve">15. Agent triggers Coverage Engine update via internal service call.</w:t>
      </w:r>
    </w:p>
    <w:p>
      <w:pPr>
        <w:spacing w:before="80" w:after="80"/>
      </w:pPr>
      <w:r>
        <w:rPr>
          <w:rFonts w:ascii="Arial" w:cs="Arial" w:eastAsia="Arial" w:hAnsi="Arial"/>
          <w:sz w:val="20"/>
          <w:szCs w:val="20"/>
        </w:rPr>
        <w:t xml:space="preserve">16. Findings appear in the record detail panel under the AI Findings tab.</w:t>
      </w:r>
    </w:p>
    <w:p>
      <w:pPr>
        <w:pStyle w:val="Heading3"/>
        <w:spacing w:before="200" w:after="80"/>
      </w:pPr>
      <w:r>
        <w:rPr>
          <w:rFonts w:ascii="Arial" w:cs="Arial" w:eastAsia="Arial" w:hAnsi="Arial"/>
          <w:b/>
          <w:bCs/>
          <w:color w:val="1a1a2e"/>
          <w:sz w:val="20"/>
          <w:szCs w:val="20"/>
        </w:rPr>
        <w:t xml:space="preserve">1.1.4  Shared Data Ingestion</w:t>
      </w:r>
    </w:p>
    <w:p>
      <w:pPr>
        <w:spacing w:before="80" w:after="80"/>
      </w:pPr>
      <w:r>
        <w:rPr>
          <w:rFonts w:ascii="Arial" w:cs="Arial" w:eastAsia="Arial" w:hAnsi="Arial"/>
          <w:sz w:val="20"/>
          <w:szCs w:val="20"/>
        </w:rPr>
        <w:t xml:space="preserve">17. A third party (e.g. utility provider, managing agent, energy consultant) not part of the Secure account submits data on behalf of the property owner via the Shared Data API endpoint (POST /data-library/shared-records).</w:t>
      </w:r>
    </w:p>
    <w:p>
      <w:pPr>
        <w:spacing w:before="80" w:after="80"/>
      </w:pPr>
      <w:r>
        <w:rPr>
          <w:rFonts w:ascii="Arial" w:cs="Arial" w:eastAsia="Arial" w:hAnsi="Arial"/>
          <w:sz w:val="20"/>
          <w:szCs w:val="20"/>
        </w:rPr>
        <w:t xml:space="preserve">18. The third party authenticates using a scoped shared_data API token issued by the Account Admin.</w:t>
      </w:r>
    </w:p>
    <w:p>
      <w:pPr>
        <w:spacing w:before="80" w:after="80"/>
      </w:pPr>
      <w:r>
        <w:rPr>
          <w:rFonts w:ascii="Arial" w:cs="Arial" w:eastAsia="Arial" w:hAnsi="Arial"/>
          <w:sz w:val="20"/>
          <w:szCs w:val="20"/>
        </w:rPr>
        <w:t xml:space="preserve">19. System creates the record with data_source = shared_data and tags it with the contributor_id (the issuing token identity). The record is always created with validation_status = unvalidated and confidence_level as submitted by the contributor.</w:t>
      </w:r>
    </w:p>
    <w:p>
      <w:pPr>
        <w:spacing w:before="80" w:after="80"/>
      </w:pPr>
      <w:r>
        <w:rPr>
          <w:rFonts w:ascii="Arial" w:cs="Arial" w:eastAsia="Arial" w:hAnsi="Arial"/>
          <w:sz w:val="20"/>
          <w:szCs w:val="20"/>
        </w:rPr>
        <w:t xml:space="preserve">20. Shared Data records are visually distinguished in the Data Library UI and require explicit human validation before they can be approved.</w:t>
      </w:r>
    </w:p>
    <w:p>
      <w:pPr>
        <w:spacing w:before="80" w:after="80"/>
      </w:pPr>
      <w:r>
        <w:rPr>
          <w:rFonts w:ascii="Arial" w:cs="Arial" w:eastAsia="Arial" w:hAnsi="Arial"/>
          <w:sz w:val="20"/>
          <w:szCs w:val="20"/>
        </w:rPr>
        <w:t xml:space="preserve">21. Account members cannot modify shared_data records directly — they may only validate, reject, or flag them.</w:t>
      </w:r>
    </w:p>
    <w:p>
      <w:pPr>
        <w:pBdr>
          <w:left w:val="single" w:color="d97706" w:sz="8" w:space="4"/>
        </w:pBdr>
        <w:shd w:fill="fff3cd" w:val="clear"/>
        <w:spacing w:before="80" w:after="80"/>
        <w:ind w:left="200"/>
      </w:pPr>
      <w:r>
        <w:rPr>
          <w:rFonts w:ascii="Arial" w:cs="Arial" w:eastAsia="Arial" w:hAnsi="Arial"/>
          <w:b/>
          <w:bCs/>
          <w:color w:val="92400e"/>
          <w:sz w:val="18"/>
          <w:szCs w:val="18"/>
        </w:rPr>
        <w:t xml:space="preserve">⚠ Invariant: Shared Data records are contributed by parties external to the Secure account. They carry contributor provenance and must not be auto-approved. The Account Admin controls which contributors are permitted via token issuance.</w:t>
      </w:r>
    </w:p>
    <w:p>
      <w:pPr>
        <w:spacing w:before="80" w:after="80"/>
      </w:pPr>
      <w:r>
        <w:t xml:space="preserve"/>
      </w:r>
    </w:p>
    <w:p>
      <w:pPr>
        <w:pStyle w:val="Heading2"/>
        <w:spacing w:before="280" w:after="120"/>
      </w:pPr>
      <w:r>
        <w:rPr>
          <w:rFonts w:ascii="Arial" w:cs="Arial" w:eastAsia="Arial" w:hAnsi="Arial"/>
          <w:b/>
          <w:bCs/>
          <w:color w:val="4f46e5"/>
          <w:sz w:val="22"/>
          <w:szCs w:val="22"/>
        </w:rPr>
        <w:t xml:space="preserve">1.2  Evidence Attachment</w:t>
      </w:r>
    </w:p>
    <w:p>
      <w:pPr>
        <w:spacing w:before="80" w:after="80"/>
      </w:pPr>
      <w:r>
        <w:rPr>
          <w:rFonts w:ascii="Arial" w:cs="Arial" w:eastAsia="Arial" w:hAnsi="Arial"/>
          <w:sz w:val="20"/>
          <w:szCs w:val="20"/>
        </w:rPr>
        <w:t xml:space="preserve">22. User opens a record and clicks Attach Evidence.</w:t>
      </w:r>
    </w:p>
    <w:p>
      <w:pPr>
        <w:spacing w:before="80" w:after="80"/>
      </w:pPr>
      <w:r>
        <w:rPr>
          <w:rFonts w:ascii="Arial" w:cs="Arial" w:eastAsia="Arial" w:hAnsi="Arial"/>
          <w:sz w:val="20"/>
          <w:szCs w:val="20"/>
        </w:rPr>
        <w:t xml:space="preserve">23. User selects a document from the Evidence Store or uploads a new file (PDF, image, XLSX — max 20 MB).</w:t>
      </w:r>
    </w:p>
    <w:p>
      <w:pPr>
        <w:spacing w:before="80" w:after="80"/>
      </w:pPr>
      <w:r>
        <w:rPr>
          <w:rFonts w:ascii="Arial" w:cs="Arial" w:eastAsia="Arial" w:hAnsi="Arial"/>
          <w:sz w:val="20"/>
          <w:szCs w:val="20"/>
        </w:rPr>
        <w:t xml:space="preserve">24. User sets evidence_role (primary_source | methodology | verification | certificate) and optionally sets period_covered_start / period_covered_end.</w:t>
      </w:r>
    </w:p>
    <w:p>
      <w:pPr>
        <w:spacing w:before="80" w:after="80"/>
      </w:pPr>
      <w:r>
        <w:rPr>
          <w:rFonts w:ascii="Arial" w:cs="Arial" w:eastAsia="Arial" w:hAnsi="Arial"/>
          <w:sz w:val="20"/>
          <w:szCs w:val="20"/>
        </w:rPr>
        <w:t xml:space="preserve">25. System stores the file at the canonical path: account/{accountId}/property/{propertyId}/{yyyy}/{mm}/{documentId}-{fileName}.</w:t>
      </w:r>
    </w:p>
    <w:p>
      <w:pPr>
        <w:spacing w:before="80" w:after="80"/>
      </w:pPr>
      <w:r>
        <w:rPr>
          <w:rFonts w:ascii="Arial" w:cs="Arial" w:eastAsia="Arial" w:hAnsi="Arial"/>
          <w:sz w:val="20"/>
          <w:szCs w:val="20"/>
        </w:rPr>
        <w:t xml:space="preserve">26. System creates an evidence_attachments row; sets record validation_status to evidence_attached if currently unvalidated.</w:t>
      </w:r>
    </w:p>
    <w:p>
      <w:pPr>
        <w:spacing w:before="80" w:after="80"/>
      </w:pPr>
      <w:r>
        <w:rPr>
          <w:rFonts w:ascii="Arial" w:cs="Arial" w:eastAsia="Arial" w:hAnsi="Arial"/>
          <w:sz w:val="20"/>
          <w:szCs w:val="20"/>
        </w:rPr>
        <w:t xml:space="preserve">27. System writes audit_events row (action = evidence_attached).</w:t>
      </w:r>
    </w:p>
    <w:p>
      <w:pPr>
        <w:pStyle w:val="Heading2"/>
        <w:spacing w:before="280" w:after="120"/>
      </w:pPr>
      <w:r>
        <w:rPr>
          <w:rFonts w:ascii="Arial" w:cs="Arial" w:eastAsia="Arial" w:hAnsi="Arial"/>
          <w:b/>
          <w:bCs/>
          <w:color w:val="4f46e5"/>
          <w:sz w:val="22"/>
          <w:szCs w:val="22"/>
        </w:rPr>
        <w:t xml:space="preserve">1.3  Human Validation</w:t>
      </w:r>
    </w:p>
    <w:p>
      <w:pPr>
        <w:spacing w:before="80" w:after="80"/>
      </w:pPr>
      <w:r>
        <w:rPr>
          <w:rFonts w:ascii="Arial" w:cs="Arial" w:eastAsia="Arial" w:hAnsi="Arial"/>
          <w:sz w:val="20"/>
          <w:szCs w:val="20"/>
        </w:rPr>
        <w:t xml:space="preserve">28. A user with the validator permission opens a record with at least one evidence attachment.</w:t>
      </w:r>
    </w:p>
    <w:p>
      <w:pPr>
        <w:spacing w:before="80" w:after="80"/>
      </w:pPr>
      <w:r>
        <w:rPr>
          <w:rFonts w:ascii="Arial" w:cs="Arial" w:eastAsia="Arial" w:hAnsi="Arial"/>
          <w:sz w:val="20"/>
          <w:szCs w:val="20"/>
        </w:rPr>
        <w:t xml:space="preserve">29. Reviewer reads the record data and inspects linked evidence.</w:t>
      </w:r>
    </w:p>
    <w:p>
      <w:pPr>
        <w:spacing w:before="80" w:after="80"/>
      </w:pPr>
      <w:r>
        <w:rPr>
          <w:rFonts w:ascii="Arial" w:cs="Arial" w:eastAsia="Arial" w:hAnsi="Arial"/>
          <w:sz w:val="20"/>
          <w:szCs w:val="20"/>
        </w:rPr>
        <w:t xml:space="preserve">30. Reviewer selects an action: approved | rejected | flagged_for_review.</w:t>
      </w:r>
    </w:p>
    <w:p>
      <w:pPr>
        <w:spacing w:before="80" w:after="80"/>
      </w:pPr>
      <w:r>
        <w:rPr>
          <w:rFonts w:ascii="Arial" w:cs="Arial" w:eastAsia="Arial" w:hAnsi="Arial"/>
          <w:sz w:val="20"/>
          <w:szCs w:val="20"/>
        </w:rPr>
        <w:t xml:space="preserve">31. If rejecting, reviewer must supply a rejection_reason (minimum 10 characters).</w:t>
      </w:r>
    </w:p>
    <w:p>
      <w:pPr>
        <w:spacing w:before="80" w:after="80"/>
      </w:pPr>
      <w:r>
        <w:rPr>
          <w:rFonts w:ascii="Arial" w:cs="Arial" w:eastAsia="Arial" w:hAnsi="Arial"/>
          <w:sz w:val="20"/>
          <w:szCs w:val="20"/>
        </w:rPr>
        <w:t xml:space="preserve">32. System appends a record_validations row (append-only; no UPDATE/DELETE).</w:t>
      </w:r>
    </w:p>
    <w:p>
      <w:pPr>
        <w:spacing w:before="80" w:after="80"/>
      </w:pPr>
      <w:r>
        <w:rPr>
          <w:rFonts w:ascii="Arial" w:cs="Arial" w:eastAsia="Arial" w:hAnsi="Arial"/>
          <w:sz w:val="20"/>
          <w:szCs w:val="20"/>
        </w:rPr>
        <w:t xml:space="preserve">33. System updates validation_status on data_library_records to match the action.</w:t>
      </w:r>
    </w:p>
    <w:p>
      <w:pPr>
        <w:spacing w:before="80" w:after="80"/>
      </w:pPr>
      <w:r>
        <w:rPr>
          <w:rFonts w:ascii="Arial" w:cs="Arial" w:eastAsia="Arial" w:hAnsi="Arial"/>
          <w:sz w:val="20"/>
          <w:szCs w:val="20"/>
        </w:rPr>
        <w:t xml:space="preserve">34. System triggers Coverage Engine re-evaluate(propertyId, period).</w:t>
      </w:r>
    </w:p>
    <w:p>
      <w:pPr>
        <w:spacing w:before="80" w:after="80"/>
      </w:pPr>
      <w:r>
        <w:rPr>
          <w:rFonts w:ascii="Arial" w:cs="Arial" w:eastAsia="Arial" w:hAnsi="Arial"/>
          <w:sz w:val="20"/>
          <w:szCs w:val="20"/>
        </w:rPr>
        <w:t xml:space="preserve">35. System writes audit_events row (action = record_validated).</w:t>
      </w:r>
    </w:p>
    <w:p>
      <w:pPr>
        <w:spacing w:before="80" w:after="80"/>
      </w:pPr>
      <w:r>
        <w:rPr>
          <w:rFonts w:ascii="Arial" w:cs="Arial" w:eastAsia="Arial" w:hAnsi="Arial"/>
          <w:sz w:val="20"/>
          <w:szCs w:val="20"/>
        </w:rPr>
        <w:t xml:space="preserve">36. If rejected, agent_findings row is written (finding_type = validation_rejected_blocker).</w:t>
      </w:r>
    </w:p>
    <w:p>
      <w:pPr>
        <w:pStyle w:val="Heading2"/>
        <w:spacing w:before="280" w:after="120"/>
      </w:pPr>
      <w:r>
        <w:rPr>
          <w:rFonts w:ascii="Arial" w:cs="Arial" w:eastAsia="Arial" w:hAnsi="Arial"/>
          <w:b/>
          <w:bCs/>
          <w:color w:val="4f46e5"/>
          <w:sz w:val="22"/>
          <w:szCs w:val="22"/>
        </w:rPr>
        <w:t xml:space="preserve">1.4  Coverage Check</w:t>
      </w:r>
    </w:p>
    <w:p>
      <w:pPr>
        <w:spacing w:before="80" w:after="80"/>
      </w:pPr>
      <w:r>
        <w:rPr>
          <w:rFonts w:ascii="Arial" w:cs="Arial" w:eastAsia="Arial" w:hAnsi="Arial"/>
          <w:sz w:val="20"/>
          <w:szCs w:val="20"/>
        </w:rPr>
        <w:t xml:space="preserve">37. User navigates to the Coverage tile on the property dashboard.</w:t>
      </w:r>
    </w:p>
    <w:p>
      <w:pPr>
        <w:spacing w:before="80" w:after="80"/>
      </w:pPr>
      <w:r>
        <w:rPr>
          <w:rFonts w:ascii="Arial" w:cs="Arial" w:eastAsia="Arial" w:hAnsi="Arial"/>
          <w:sz w:val="20"/>
          <w:szCs w:val="20"/>
        </w:rPr>
        <w:t xml:space="preserve">38. System reads the latest coverage_assessments row for that property + period.</w:t>
      </w:r>
    </w:p>
    <w:p>
      <w:pPr>
        <w:spacing w:before="80" w:after="80"/>
      </w:pPr>
      <w:r>
        <w:rPr>
          <w:rFonts w:ascii="Arial" w:cs="Arial" w:eastAsia="Arial" w:hAnsi="Arial"/>
          <w:sz w:val="20"/>
          <w:szCs w:val="20"/>
        </w:rPr>
        <w:t xml:space="preserve">39. System displays: coverage_pct, missing_categories (list), confidence_breakdown (measured/allocated/estimated/cost_only split).</w:t>
      </w:r>
    </w:p>
    <w:p>
      <w:pPr>
        <w:spacing w:before="80" w:after="80"/>
      </w:pPr>
      <w:r>
        <w:rPr>
          <w:rFonts w:ascii="Arial" w:cs="Arial" w:eastAsia="Arial" w:hAnsi="Arial"/>
          <w:sz w:val="20"/>
          <w:szCs w:val="20"/>
        </w:rPr>
        <w:t xml:space="preserve">40. User can click Run Coverage Check to force a synchronous Coverage Engine re-evaluation.</w:t>
      </w:r>
    </w:p>
    <w:p>
      <w:pPr>
        <w:spacing w:before="80" w:after="8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§2  API Endpoints</w:t>
      </w:r>
    </w:p>
    <w:p>
      <w:pPr>
        <w:pBdr>
          <w:left w:val="single" w:color="4f46e5" w:sz="8" w:space="4"/>
        </w:pBdr>
        <w:shd w:fill="f0f0f8" w:val="clear"/>
        <w:spacing w:before="80" w:after="80"/>
        <w:ind w:left="200"/>
      </w:pPr>
      <w:r>
        <w:rPr>
          <w:rFonts w:ascii="Arial" w:cs="Arial" w:eastAsia="Arial" w:hAnsi="Arial"/>
          <w:i/>
          <w:iCs/>
          <w:color w:val="1a1a2e"/>
          <w:sz w:val="18"/>
          <w:szCs w:val="18"/>
        </w:rPr>
        <w:t xml:space="preserve">All endpoints are prefixed: /api/v1. Authentication: Bearer JWT (Supabase Auth). Content-Type: application/json unless noted.</w:t>
      </w:r>
    </w:p>
    <w:p>
      <w:pPr>
        <w:spacing w:before="80" w:after="80"/>
      </w:pPr>
      <w:r>
        <w:t xml:space="preserve"/>
      </w:r>
    </w:p>
    <w:p>
      <w:pPr>
        <w:pStyle w:val="Heading2"/>
        <w:spacing w:before="280" w:after="120"/>
      </w:pPr>
      <w:r>
        <w:rPr>
          <w:rFonts w:ascii="Arial" w:cs="Arial" w:eastAsia="Arial" w:hAnsi="Arial"/>
          <w:b/>
          <w:bCs/>
          <w:color w:val="4f46e5"/>
          <w:sz w:val="22"/>
          <w:szCs w:val="22"/>
        </w:rPr>
        <w:t xml:space="preserve">2.1  Records</w:t>
      </w:r>
    </w:p>
    <w:p>
      <w:pPr>
        <w:pStyle w:val="Heading3"/>
        <w:spacing w:before="200" w:after="80"/>
      </w:pPr>
      <w:r>
        <w:rPr>
          <w:rFonts w:ascii="Arial" w:cs="Arial" w:eastAsia="Arial" w:hAnsi="Arial"/>
          <w:b/>
          <w:bCs/>
          <w:color w:val="1a1a2e"/>
          <w:sz w:val="20"/>
          <w:szCs w:val="20"/>
        </w:rPr>
        <w:t xml:space="preserve">GET /data-library/records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760"/>
      </w:tblGrid>
      <w:t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7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property_id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Filter by property</w:t>
            </w:r>
          </w:p>
        </w:tc>
      </w:tr>
      <w:tr>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subject_category</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text</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No</w:t>
            </w:r>
          </w:p>
        </w:tc>
        <w:tc>
          <w:tcPr>
            <w:tcW w:type="dxa" w:w="47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Filter by category (see taxonomy §3.2)</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period_start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Records with period overlapping this date</w:t>
            </w:r>
          </w:p>
        </w:tc>
      </w:tr>
      <w:tr>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period_end</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date</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No</w:t>
            </w:r>
          </w:p>
        </w:tc>
        <w:tc>
          <w:tcPr>
            <w:tcW w:type="dxa" w:w="47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Upper bound of period filter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validation_status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Filter by status enum</w:t>
            </w:r>
          </w:p>
        </w:tc>
      </w:tr>
      <w:tr>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confidence_level</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text</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No</w:t>
            </w:r>
          </w:p>
        </w:tc>
        <w:tc>
          <w:tcPr>
            <w:tcW w:type="dxa" w:w="47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Filter by confidence enum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is_shared_data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boolean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Filter to Shared Data records only</w:t>
            </w:r>
          </w:p>
        </w:tc>
      </w:tr>
      <w:tr>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page</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integer</w:t>
            </w:r>
          </w:p>
        </w:tc>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No</w:t>
            </w:r>
          </w:p>
        </w:tc>
        <w:tc>
          <w:tcPr>
            <w:tcW w:type="dxa" w:w="47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Default 1</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page_size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Default 50, max 200</w:t>
            </w:r>
          </w:p>
        </w:tc>
      </w:tr>
    </w:tbl>
    <w:p>
      <w:pPr>
        <w:spacing w:before="80" w:after="80"/>
      </w:pPr>
      <w:r>
        <w:t xml:space="preserve"/>
      </w:r>
    </w:p>
    <w:p>
      <w:pPr>
        <w:pStyle w:val="Heading3"/>
        <w:spacing w:before="200" w:after="80"/>
      </w:pPr>
      <w:r>
        <w:rPr>
          <w:rFonts w:ascii="Arial" w:cs="Arial" w:eastAsia="Arial" w:hAnsi="Arial"/>
          <w:b/>
          <w:bCs/>
          <w:color w:val="1a1a2e"/>
          <w:sz w:val="20"/>
          <w:szCs w:val="20"/>
        </w:rPr>
        <w:t xml:space="preserve">POST /data-library/records</w:t>
      </w:r>
    </w:p>
    <w:p>
      <w:pPr>
        <w:pBdr>
          <w:left w:val="single" w:color="4f46e5" w:sz="8" w:space="4"/>
        </w:pBdr>
        <w:shd w:fill="f0f0f8" w:val="clear"/>
        <w:spacing w:before="80" w:after="80"/>
        <w:ind w:left="200"/>
      </w:pPr>
      <w:r>
        <w:rPr>
          <w:rFonts w:ascii="Arial" w:cs="Arial" w:eastAsia="Arial" w:hAnsi="Arial"/>
          <w:i/>
          <w:iCs/>
          <w:color w:val="1a1a2e"/>
          <w:sz w:val="18"/>
          <w:szCs w:val="18"/>
        </w:rPr>
        <w:t xml:space="preserve">Creates a new data_library_record. waste_stream_type is required when subject_category is any waste_* category.</w:t>
      </w:r>
    </w:p>
    <w:p>
      <w:pPr>
        <w:spacing w:before="80" w:after="80"/>
      </w:pPr>
      <w:r>
        <w:t xml:space="preserve"/>
      </w:r>
    </w:p>
    <w:p>
      <w:pPr>
        <w:pStyle w:val="Heading3"/>
        <w:spacing w:before="200" w:after="80"/>
      </w:pPr>
      <w:r>
        <w:rPr>
          <w:rFonts w:ascii="Arial" w:cs="Arial" w:eastAsia="Arial" w:hAnsi="Arial"/>
          <w:b/>
          <w:bCs/>
          <w:color w:val="1a1a2e"/>
          <w:sz w:val="20"/>
          <w:szCs w:val="20"/>
        </w:rPr>
        <w:t xml:space="preserve">POST /data-library/shared-records</w:t>
      </w:r>
    </w:p>
    <w:p>
      <w:pPr>
        <w:pBdr>
          <w:left w:val="single" w:color="4f46e5" w:sz="8" w:space="4"/>
        </w:pBdr>
        <w:shd w:fill="f0f0f8" w:val="clear"/>
        <w:spacing w:before="80" w:after="80"/>
        <w:ind w:left="200"/>
      </w:pPr>
      <w:r>
        <w:rPr>
          <w:rFonts w:ascii="Arial" w:cs="Arial" w:eastAsia="Arial" w:hAnsi="Arial"/>
          <w:i/>
          <w:iCs/>
          <w:color w:val="1a1a2e"/>
          <w:sz w:val="18"/>
          <w:szCs w:val="18"/>
        </w:rPr>
        <w:t xml:space="preserve">Shared Data ingestion endpoint. Requires shared_data scoped API token. Sets data_source = shared_data and contributor_id automatically. Returns 201 with full record object including contributor_id.</w:t>
      </w:r>
    </w:p>
    <w:p>
      <w:pPr>
        <w:spacing w:before="80" w:after="80"/>
      </w:pPr>
      <w:r>
        <w:t xml:space="preserve"/>
      </w:r>
    </w:p>
    <w:p>
      <w:pPr>
        <w:pStyle w:val="Heading2"/>
        <w:spacing w:before="280" w:after="120"/>
      </w:pPr>
      <w:r>
        <w:rPr>
          <w:rFonts w:ascii="Arial" w:cs="Arial" w:eastAsia="Arial" w:hAnsi="Arial"/>
          <w:b/>
          <w:bCs/>
          <w:color w:val="4f46e5"/>
          <w:sz w:val="22"/>
          <w:szCs w:val="22"/>
        </w:rPr>
        <w:t xml:space="preserve">2.2  Evidence, Validation, Coverage, Import, Audit</w:t>
      </w:r>
    </w:p>
    <w:p>
      <w:pPr>
        <w:spacing w:before="80" w:after="80"/>
      </w:pPr>
      <w:r>
        <w:rPr>
          <w:rFonts w:ascii="Arial" w:cs="Arial" w:eastAsia="Arial" w:hAnsi="Arial"/>
          <w:sz w:val="20"/>
          <w:szCs w:val="20"/>
        </w:rPr>
        <w:t xml:space="preserve">Unchanged from v3. See v3 §2.2–2.6 for endpoint definitions. No breaking changes.</w:t>
      </w:r>
    </w:p>
    <w:p>
      <w:pPr>
        <w:spacing w:before="80" w:after="8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§3  Database Schema</w:t>
      </w:r>
    </w:p>
    <w:p>
      <w:pPr>
        <w:pStyle w:val="Heading2"/>
        <w:spacing w:before="280" w:after="120"/>
      </w:pPr>
      <w:r>
        <w:rPr>
          <w:rFonts w:ascii="Arial" w:cs="Arial" w:eastAsia="Arial" w:hAnsi="Arial"/>
          <w:b/>
          <w:bCs/>
          <w:color w:val="4f46e5"/>
          <w:sz w:val="22"/>
          <w:szCs w:val="22"/>
        </w:rPr>
        <w:t xml:space="preserve">3.1  data_library_records — Updated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860"/>
      </w:tblGrid>
      <w:tr>
        <w:tc>
          <w:tcPr>
            <w:tcW w:type="dxa" w:w="2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28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PK</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Auto-generated</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account_id</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uuid</w:t>
            </w:r>
          </w:p>
        </w:tc>
        <w:tc>
          <w:tcPr>
            <w:tcW w:type="dxa" w:w="23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NOT NULL, FK → accounts</w:t>
            </w:r>
          </w:p>
        </w:tc>
        <w:tc>
          <w:tcPr>
            <w:tcW w:type="dxa" w:w="28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RLS anchor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property_id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uuid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NOT NULL, FK → properties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No space_id — segregation via subject_category</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subject_category</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text</w:t>
            </w:r>
          </w:p>
        </w:tc>
        <w:tc>
          <w:tcPr>
            <w:tcW w:type="dxa" w:w="23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NOT NULL, CHECK (enum)</w:t>
            </w:r>
          </w:p>
        </w:tc>
        <w:tc>
          <w:tcPr>
            <w:tcW w:type="dxa" w:w="28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See full taxonomy §3.2</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period_start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period_end</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date</w:t>
            </w:r>
          </w:p>
        </w:tc>
        <w:tc>
          <w:tcPr>
            <w:tcW w:type="dxa" w:w="23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NOT NULL</w:t>
            </w:r>
          </w:p>
        </w:tc>
        <w:tc>
          <w:tcPr>
            <w:tcW w:type="dxa" w:w="28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CHECK period_end &gt;= period_start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quantity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numeric(18,4)</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NOT NULL, CHECK (&gt; 0)</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unit</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text</w:t>
            </w:r>
          </w:p>
        </w:tc>
        <w:tc>
          <w:tcPr>
            <w:tcW w:type="dxa" w:w="23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NOT NULL</w:t>
            </w:r>
          </w:p>
        </w:tc>
        <w:tc>
          <w:tcPr>
            <w:tcW w:type="dxa" w:w="28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kWh, m3, tonnes, kg, tCO2e etc.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data_source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NOT NULL, CHECK (enum)</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invoice|meter|manual|bms|api|agent|shared_data</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confidence_level</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text</w:t>
            </w:r>
          </w:p>
        </w:tc>
        <w:tc>
          <w:tcPr>
            <w:tcW w:type="dxa" w:w="23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NOT NULL, CHECK (enum)</w:t>
            </w:r>
          </w:p>
        </w:tc>
        <w:tc>
          <w:tcPr>
            <w:tcW w:type="dxa" w:w="28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measured|allocated|estimated|cost_only — see §4.3</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waste_stream_type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Required if subject_category is waste_*. See §3.3</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contributor_id</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text</w:t>
            </w:r>
          </w:p>
        </w:tc>
        <w:tc>
          <w:tcPr>
            <w:tcW w:type="dxa" w:w="23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NULLABLE</w:t>
            </w:r>
          </w:p>
        </w:tc>
        <w:tc>
          <w:tcPr>
            <w:tcW w:type="dxa" w:w="28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Populated for shared_data records only. Token identity of external contributor.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validation_status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unvalidated</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See §6 lifecycle</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notes</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text</w:t>
            </w:r>
          </w:p>
        </w:tc>
        <w:tc>
          <w:tcPr>
            <w:tcW w:type="dxa" w:w="23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NULLABLE</w:t>
            </w:r>
          </w:p>
        </w:tc>
        <w:tc>
          <w:tcPr>
            <w:tcW w:type="dxa" w:w="28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deleted_at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Soft delete</w:t>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created_by</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uuid</w:t>
            </w:r>
          </w:p>
        </w:tc>
        <w:tc>
          <w:tcPr>
            <w:tcW w:type="dxa" w:w="23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FK → auth.users.id</w:t>
            </w:r>
          </w:p>
        </w:tc>
        <w:tc>
          <w:tcPr>
            <w:tcW w:type="dxa" w:w="28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updated_at</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8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Auto via trigger</w:t>
            </w:r>
          </w:p>
        </w:tc>
      </w:tr>
    </w:tbl>
    <w:p>
      <w:pPr>
        <w:spacing w:before="80" w:after="80"/>
      </w:pPr>
      <w:r>
        <w:t xml:space="preserve"/>
      </w:r>
    </w:p>
    <w:p>
      <w:pPr>
        <w:pStyle w:val="Heading2"/>
        <w:spacing w:before="280" w:after="120"/>
      </w:pPr>
      <w:r>
        <w:rPr>
          <w:rFonts w:ascii="Arial" w:cs="Arial" w:eastAsia="Arial" w:hAnsi="Arial"/>
          <w:b/>
          <w:bCs/>
          <w:color w:val="4f46e5"/>
          <w:sz w:val="22"/>
          <w:szCs w:val="22"/>
        </w:rPr>
        <w:t xml:space="preserve">3.2  subject_category Taxonomy — v4</w:t>
      </w:r>
    </w:p>
    <w:p>
      <w:pPr>
        <w:pBdr>
          <w:left w:val="single" w:color="4f46e5" w:sz="8" w:space="4"/>
        </w:pBdr>
        <w:shd w:fill="f0f0f8" w:val="clear"/>
        <w:spacing w:before="80" w:after="80"/>
        <w:ind w:left="200"/>
      </w:pPr>
      <w:r>
        <w:rPr>
          <w:rFonts w:ascii="Arial" w:cs="Arial" w:eastAsia="Arial" w:hAnsi="Arial"/>
          <w:i/>
          <w:iCs/>
          <w:color w:val="1a1a2e"/>
          <w:sz w:val="18"/>
          <w:szCs w:val="18"/>
        </w:rPr>
        <w:t xml:space="preserve">v4 change: Energy and water categories now carry tenant/landlord/shared suffixes to support GRESB boundary reporting. Unsuffixed categories (waste, refrigerants) remain whole-building. Emissions categories are derived and written exclusively by the Emissions Engine.</w:t>
      </w:r>
    </w:p>
    <w:p>
      <w:pPr>
        <w:spacing w:before="80" w:after="80"/>
      </w:pPr>
      <w:r>
        <w:t xml:space="preserve"/>
      </w:r>
    </w:p>
    <w:p>
      <w:pPr>
        <w:pStyle w:val="Heading3"/>
        <w:spacing w:before="200" w:after="80"/>
      </w:pPr>
      <w:r>
        <w:rPr>
          <w:rFonts w:ascii="Arial" w:cs="Arial" w:eastAsia="Arial" w:hAnsi="Arial"/>
          <w:b/>
          <w:bCs/>
          <w:color w:val="1a1a2e"/>
          <w:sz w:val="20"/>
          <w:szCs w:val="20"/>
        </w:rPr>
        <w:t xml:space="preserve">Energy — Electricity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Unit</w:t>
            </w:r>
          </w:p>
        </w:tc>
        <w:tc>
          <w:tcPr>
            <w:tcW w:type="dxa" w:w="5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energy_electricity_landlord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kWh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Landlord-procured electricity: base building, common areas, shared plant, external lighting</w:t>
            </w:r>
          </w:p>
        </w:tc>
      </w:tr>
      <w:tr>
        <w:tc>
          <w:tcPr>
            <w:tcW w:type="dxa" w:w="3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energy_electricity_tenant</w:t>
            </w:r>
          </w:p>
        </w:tc>
        <w:tc>
          <w:tcPr>
            <w:tcW w:type="dxa" w:w="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kWh</w:t>
            </w:r>
          </w:p>
        </w:tc>
        <w:tc>
          <w:tcPr>
            <w:tcW w:type="dxa" w:w="5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Tenant direct supply — tenant holds own contract or has dedicated submeter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energy_electricity_shared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kWh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Landlord-procured, recharged via service charge. Distinct from _landlord for GRESB boundary reporting.</w:t>
            </w:r>
          </w:p>
        </w:tc>
      </w:tr>
    </w:tbl>
    <w:p>
      <w:pPr>
        <w:spacing w:before="80" w:after="80"/>
      </w:pPr>
      <w:r>
        <w:t xml:space="preserve"/>
      </w:r>
    </w:p>
    <w:p>
      <w:pPr>
        <w:pStyle w:val="Heading3"/>
        <w:spacing w:before="200" w:after="80"/>
      </w:pPr>
      <w:r>
        <w:rPr>
          <w:rFonts w:ascii="Arial" w:cs="Arial" w:eastAsia="Arial" w:hAnsi="Arial"/>
          <w:b/>
          <w:bCs/>
          <w:color w:val="1a1a2e"/>
          <w:sz w:val="20"/>
          <w:szCs w:val="20"/>
        </w:rPr>
        <w:t xml:space="preserve">Energy — 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Unit</w:t>
            </w:r>
          </w:p>
        </w:tc>
        <w:tc>
          <w:tcPr>
            <w:tcW w:type="dxa" w:w="5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energy_gas_landlord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kWh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Whole-building gas: heating plant, landlord-controlled boilers. Default for most assets.</w:t>
            </w:r>
          </w:p>
        </w:tc>
      </w:tr>
      <w:tr>
        <w:tc>
          <w:tcPr>
            <w:tcW w:type="dxa" w:w="3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energy_gas_tenant</w:t>
            </w:r>
          </w:p>
        </w:tc>
        <w:tc>
          <w:tcPr>
            <w:tcW w:type="dxa" w:w="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kWh</w:t>
            </w:r>
          </w:p>
        </w:tc>
        <w:tc>
          <w:tcPr>
            <w:tcW w:type="dxa" w:w="5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Tenant's own direct gas supply. Exception case — requires evidence of separate meter.</w:t>
            </w:r>
          </w:p>
        </w:tc>
      </w:tr>
    </w:tbl>
    <w:p>
      <w:pPr>
        <w:spacing w:before="80" w:after="80"/>
      </w:pPr>
      <w:r>
        <w:t xml:space="preserve"/>
      </w:r>
    </w:p>
    <w:p>
      <w:pPr>
        <w:pStyle w:val="Heading3"/>
        <w:spacing w:before="200" w:after="80"/>
      </w:pPr>
      <w:r>
        <w:rPr>
          <w:rFonts w:ascii="Arial" w:cs="Arial" w:eastAsia="Arial" w:hAnsi="Arial"/>
          <w:b/>
          <w:bCs/>
          <w:color w:val="1a1a2e"/>
          <w:sz w:val="20"/>
          <w:szCs w:val="20"/>
        </w:rPr>
        <w:t xml:space="preserve">Energy —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Unit</w:t>
            </w:r>
          </w:p>
        </w:tc>
        <w:tc>
          <w:tcPr>
            <w:tcW w:type="dxa" w:w="5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energy_district_heat_landlord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kWh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District heat — landlord-procured for whole building. Almost always landlord.</w:t>
            </w:r>
          </w:p>
        </w:tc>
      </w:tr>
      <w:tr>
        <w:tc>
          <w:tcPr>
            <w:tcW w:type="dxa" w:w="3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energy_oil_landlord</w:t>
            </w:r>
          </w:p>
        </w:tc>
        <w:tc>
          <w:tcPr>
            <w:tcW w:type="dxa" w:w="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kWh</w:t>
            </w:r>
          </w:p>
        </w:tc>
        <w:tc>
          <w:tcPr>
            <w:tcW w:type="dxa" w:w="5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Oil — whole building, landlord-controlled plant.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energy_other_landlord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kWh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Other energy source, landlord-procured.</w:t>
            </w:r>
          </w:p>
        </w:tc>
      </w:tr>
    </w:tbl>
    <w:p>
      <w:pPr>
        <w:spacing w:before="80" w:after="80"/>
      </w:pPr>
      <w:r>
        <w:t xml:space="preserve"/>
      </w:r>
    </w:p>
    <w:p>
      <w:pPr>
        <w:pStyle w:val="Heading3"/>
        <w:spacing w:before="200" w:after="80"/>
      </w:pPr>
      <w:r>
        <w:rPr>
          <w:rFonts w:ascii="Arial" w:cs="Arial" w:eastAsia="Arial" w:hAnsi="Arial"/>
          <w:b/>
          <w:bCs/>
          <w:color w:val="1a1a2e"/>
          <w:sz w:val="20"/>
          <w:szCs w:val="20"/>
        </w:rPr>
        <w:t xml:space="preserve">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Unit</w:t>
            </w:r>
          </w:p>
        </w:tc>
        <w:tc>
          <w:tcPr>
            <w:tcW w:type="dxa" w:w="5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water_mains_landlord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m3</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Whole-building mains water — landlord default.</w:t>
            </w:r>
          </w:p>
        </w:tc>
      </w:tr>
      <w:tr>
        <w:tc>
          <w:tcPr>
            <w:tcW w:type="dxa" w:w="3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water_mains_tenant</w:t>
            </w:r>
          </w:p>
        </w:tc>
        <w:tc>
          <w:tcPr>
            <w:tcW w:type="dxa" w:w="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m3</w:t>
            </w:r>
          </w:p>
        </w:tc>
        <w:tc>
          <w:tcPr>
            <w:tcW w:type="dxa" w:w="5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Tenant direct water supply. Exception — requires evidence of separate meter or invoice.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water_recycled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m3</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Recycled/harvested water — whole building, no suffix needed.</w:t>
            </w:r>
          </w:p>
        </w:tc>
      </w:tr>
    </w:tbl>
    <w:p>
      <w:pPr>
        <w:spacing w:before="80" w:after="80"/>
      </w:pPr>
      <w:r>
        <w:t xml:space="preserve"/>
      </w:r>
    </w:p>
    <w:p>
      <w:pPr>
        <w:pStyle w:val="Heading3"/>
        <w:spacing w:before="200" w:after="80"/>
      </w:pPr>
      <w:r>
        <w:rPr>
          <w:rFonts w:ascii="Arial" w:cs="Arial" w:eastAsia="Arial" w:hAnsi="Arial"/>
          <w:b/>
          <w:bCs/>
          <w:color w:val="1a1a2e"/>
          <w:sz w:val="20"/>
          <w:szCs w:val="20"/>
        </w:rPr>
        <w:t xml:space="preserve">Waste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Unit</w:t>
            </w:r>
          </w:p>
        </w:tc>
        <w:tc>
          <w:tcPr>
            <w:tcW w:type="dxa" w:w="5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waste_general</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tonnes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General / mixed waste. Use waste_stream_type field for material sub-classification.</w:t>
            </w:r>
          </w:p>
        </w:tc>
      </w:tr>
      <w:tr>
        <w:tc>
          <w:tcPr>
            <w:tcW w:type="dxa" w:w="3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waste_recycled</w:t>
            </w:r>
          </w:p>
        </w:tc>
        <w:tc>
          <w:tcPr>
            <w:tcW w:type="dxa" w:w="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tonnes</w:t>
            </w:r>
          </w:p>
        </w:tc>
        <w:tc>
          <w:tcPr>
            <w:tcW w:type="dxa" w:w="5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Recycled waste. Use waste_stream_type for material.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waste_composted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tonnes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Composted / organic waste.</w:t>
            </w:r>
          </w:p>
        </w:tc>
      </w:tr>
    </w:tbl>
    <w:p>
      <w:pPr>
        <w:pBdr>
          <w:left w:val="single" w:color="4f46e5" w:sz="8" w:space="4"/>
        </w:pBdr>
        <w:shd w:fill="f0f0f8" w:val="clear"/>
        <w:spacing w:before="80" w:after="80"/>
        <w:ind w:left="200"/>
      </w:pPr>
      <w:r>
        <w:rPr>
          <w:rFonts w:ascii="Arial" w:cs="Arial" w:eastAsia="Arial" w:hAnsi="Arial"/>
          <w:i/>
          <w:iCs/>
          <w:color w:val="1a1a2e"/>
          <w:sz w:val="18"/>
          <w:szCs w:val="18"/>
        </w:rPr>
        <w:t xml:space="preserve">Waste categories carry no tenant/landlord suffix — waste is typically managed at whole-building level by the landlord. Material sub-type is captured via the waste_stream_type field (§3.3).</w:t>
      </w:r>
    </w:p>
    <w:p>
      <w:pPr>
        <w:spacing w:before="80" w:after="80"/>
      </w:pPr>
      <w:r>
        <w:t xml:space="preserve"/>
      </w:r>
    </w:p>
    <w:p>
      <w:pPr>
        <w:pStyle w:val="Heading3"/>
        <w:spacing w:before="200" w:after="80"/>
      </w:pPr>
      <w:r>
        <w:rPr>
          <w:rFonts w:ascii="Arial" w:cs="Arial" w:eastAsia="Arial" w:hAnsi="Arial"/>
          <w:b/>
          <w:bCs/>
          <w:color w:val="1a1a2e"/>
          <w:sz w:val="20"/>
          <w:szCs w:val="20"/>
        </w:rPr>
        <w:t xml:space="preserve">Refrigerants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Unit</w:t>
            </w:r>
          </w:p>
        </w:tc>
        <w:tc>
          <w:tcPr>
            <w:tcW w:type="dxa" w:w="5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refrigerant_loss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kg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Refrigerant leakage — whole building. Specify refrigerant type in notes.</w:t>
            </w:r>
          </w:p>
        </w:tc>
      </w:tr>
    </w:tbl>
    <w:p>
      <w:pPr>
        <w:spacing w:before="80" w:after="80"/>
      </w:pPr>
      <w:r>
        <w:t xml:space="preserve"/>
      </w:r>
    </w:p>
    <w:p>
      <w:pPr>
        <w:pStyle w:val="Heading3"/>
        <w:spacing w:before="200" w:after="80"/>
      </w:pPr>
      <w:r>
        <w:rPr>
          <w:rFonts w:ascii="Arial" w:cs="Arial" w:eastAsia="Arial" w:hAnsi="Arial"/>
          <w:b/>
          <w:bCs/>
          <w:color w:val="1a1a2e"/>
          <w:sz w:val="20"/>
          <w:szCs w:val="20"/>
        </w:rPr>
        <w:t xml:space="preserve">Emissions — Derived (Emissions Engine write-only)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Unit</w:t>
            </w:r>
          </w:p>
        </w:tc>
        <w:tc>
          <w:tcPr>
            <w:tcW w:type="dxa" w:w="53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emissions_scope1_landlord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tCO2e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Direct emissions from landlord-controlled combustion and refrigerants</w:t>
            </w:r>
          </w:p>
        </w:tc>
      </w:tr>
      <w:tr>
        <w:tc>
          <w:tcPr>
            <w:tcW w:type="dxa" w:w="3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emissions_scope1_tenant</w:t>
            </w:r>
          </w:p>
        </w:tc>
        <w:tc>
          <w:tcPr>
            <w:tcW w:type="dxa" w:w="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tCO2e</w:t>
            </w:r>
          </w:p>
        </w:tc>
        <w:tc>
          <w:tcPr>
            <w:tcW w:type="dxa" w:w="5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Direct emissions from tenant-controlled sources (e.g. tenant gas, tenant refrigerants)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emissions_scope2_location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tCO2e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Location-based Scope 2 — grid factor x total consumption</w:t>
            </w:r>
          </w:p>
        </w:tc>
      </w:tr>
      <w:tr>
        <w:tc>
          <w:tcPr>
            <w:tcW w:type="dxa" w:w="3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emissions_scope2_market</w:t>
            </w:r>
          </w:p>
        </w:tc>
        <w:tc>
          <w:tcPr>
            <w:tcW w:type="dxa" w:w="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tCO2e</w:t>
            </w:r>
          </w:p>
        </w:tc>
        <w:tc>
          <w:tcPr>
            <w:tcW w:type="dxa" w:w="5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Market-based Scope 2 — REC/GO matched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emissions_scope3_business_travel</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tCO2e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Scope 3 Cat 6: business travel</w:t>
            </w:r>
          </w:p>
        </w:tc>
      </w:tr>
      <w:tr>
        <w:tc>
          <w:tcPr>
            <w:tcW w:type="dxa" w:w="3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emissions_scope3_commuting</w:t>
            </w:r>
          </w:p>
        </w:tc>
        <w:tc>
          <w:tcPr>
            <w:tcW w:type="dxa" w:w="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tCO2e</w:t>
            </w:r>
          </w:p>
        </w:tc>
        <w:tc>
          <w:tcPr>
            <w:tcW w:type="dxa" w:w="5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Scope 3 Cat 7: employee commuting — NEW in v4</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emissions_scope3_waste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tCO2e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Scope 3 Cat 5: waste generated in operations — NEW in v4</w:t>
            </w:r>
          </w:p>
        </w:tc>
      </w:tr>
      <w:tr>
        <w:tc>
          <w:tcPr>
            <w:tcW w:type="dxa" w:w="3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emissions_scope3_water</w:t>
            </w:r>
          </w:p>
        </w:tc>
        <w:tc>
          <w:tcPr>
            <w:tcW w:type="dxa" w:w="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tCO2e</w:t>
            </w:r>
          </w:p>
        </w:tc>
        <w:tc>
          <w:tcPr>
            <w:tcW w:type="dxa" w:w="53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Scope 3: water supply and treatment — NEW in v4</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emissions_scope3_upstream_energy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tCO2e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Scope 3 Cat 3: fuel and energy-related activities — NEW in v4</w:t>
            </w:r>
          </w:p>
        </w:tc>
      </w:tr>
    </w:tbl>
    <w:p>
      <w:pPr>
        <w:pBdr>
          <w:left w:val="single" w:color="dc2626" w:sz="8" w:space="4"/>
        </w:pBdr>
        <w:shd w:fill="fee2e2" w:val="clear"/>
        <w:spacing w:before="80" w:after="80"/>
        <w:ind w:left="200"/>
      </w:pPr>
      <w:r>
        <w:rPr>
          <w:rFonts w:ascii="Arial" w:cs="Arial" w:eastAsia="Arial" w:hAnsi="Arial"/>
          <w:b/>
          <w:bCs/>
          <w:color w:val="991b1b"/>
          <w:sz w:val="18"/>
          <w:szCs w:val="18"/>
        </w:rPr>
        <w:t xml:space="preserve">⛔ Emission categories (emissions_scope*) are written exclusively by the Emissions Engine. No user or agent may POST a record with these categories directly. The API returns 400 EMISSIONS_WRITE_BLOCKED if attempted.</w:t>
      </w:r>
    </w:p>
    <w:p>
      <w:pPr>
        <w:spacing w:before="80" w:after="80"/>
      </w:pPr>
      <w:r>
        <w:t xml:space="preserve"/>
      </w:r>
    </w:p>
    <w:p>
      <w:pPr>
        <w:pStyle w:val="Heading2"/>
        <w:spacing w:before="280" w:after="120"/>
      </w:pPr>
      <w:r>
        <w:rPr>
          <w:rFonts w:ascii="Arial" w:cs="Arial" w:eastAsia="Arial" w:hAnsi="Arial"/>
          <w:b/>
          <w:bCs/>
          <w:color w:val="4f46e5"/>
          <w:sz w:val="22"/>
          <w:szCs w:val="22"/>
        </w:rPr>
        <w:t xml:space="preserve">3.3  waste_stream_type Values</w:t>
      </w:r>
    </w:p>
    <w:p>
      <w:pPr>
        <w:pBdr>
          <w:left w:val="single" w:color="4f46e5" w:sz="8" w:space="4"/>
        </w:pBdr>
        <w:shd w:fill="f0f0f8" w:val="clear"/>
        <w:spacing w:before="80" w:after="80"/>
        <w:ind w:left="200"/>
      </w:pPr>
      <w:r>
        <w:rPr>
          <w:rFonts w:ascii="Arial" w:cs="Arial" w:eastAsia="Arial" w:hAnsi="Arial"/>
          <w:i/>
          <w:iCs/>
          <w:color w:val="1a1a2e"/>
          <w:sz w:val="18"/>
          <w:szCs w:val="18"/>
        </w:rPr>
        <w:t xml:space="preserve">waste_stream_type is a free-text enum field on data_library_records. Required when subject_category is any waste_* category. Allows granular material reporting for GRESB and local authority waste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waste_stream_type</w:t>
            </w:r>
          </w:p>
        </w:tc>
        <w:tc>
          <w:tcPr>
            <w:tcW w:type="dxa" w:w="6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general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Mixed / unsegregated waste. Default.</w:t>
            </w:r>
          </w:p>
        </w:tc>
      </w:tr>
      <w:tr>
        <w:tc>
          <w:tcPr>
            <w:tcW w:type="dxa" w:w="2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plastic</w:t>
            </w:r>
          </w:p>
        </w:tc>
        <w:tc>
          <w:tcPr>
            <w:tcW w:type="dxa" w:w="6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Plastic packaging and materials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metal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Metal / tin cans and ferrous/non-ferrous scrap</w:t>
            </w:r>
          </w:p>
        </w:tc>
      </w:tr>
      <w:tr>
        <w:tc>
          <w:tcPr>
            <w:tcW w:type="dxa" w:w="2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paper_cardboard</w:t>
            </w:r>
          </w:p>
        </w:tc>
        <w:tc>
          <w:tcPr>
            <w:tcW w:type="dxa" w:w="6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Paper and cardboard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glass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Glass bottles and materials</w:t>
            </w:r>
          </w:p>
        </w:tc>
      </w:tr>
      <w:tr>
        <w:tc>
          <w:tcPr>
            <w:tcW w:type="dxa" w:w="2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organic</w:t>
            </w:r>
          </w:p>
        </w:tc>
        <w:tc>
          <w:tcPr>
            <w:tcW w:type="dxa" w:w="6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Food and organic waste (use waste_composted category)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electrical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WEEE / electrical equipment</w:t>
            </w:r>
          </w:p>
        </w:tc>
      </w:tr>
      <w:tr>
        <w:tc>
          <w:tcPr>
            <w:tcW w:type="dxa" w:w="2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hazardous</w:t>
            </w:r>
          </w:p>
        </w:tc>
        <w:tc>
          <w:tcPr>
            <w:tcW w:type="dxa" w:w="6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Hazardous / clinical / chemical waste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construction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Construction and demolition waste</w:t>
            </w:r>
          </w:p>
        </w:tc>
      </w:tr>
      <w:tr>
        <w:tc>
          <w:tcPr>
            <w:tcW w:type="dxa" w:w="2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Courier New" w:cs="Courier New" w:eastAsia="Courier New" w:hAnsi="Courier New"/>
                <w:sz w:val="16"/>
                <w:szCs w:val="16"/>
              </w:rPr>
              <w:t xml:space="preserve">other</w:t>
            </w:r>
          </w:p>
        </w:tc>
        <w:tc>
          <w:tcPr>
            <w:tcW w:type="dxa" w:w="6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Other — specify in notes</w:t>
            </w:r>
          </w:p>
        </w:tc>
      </w:tr>
    </w:tbl>
    <w:p>
      <w:pPr>
        <w:spacing w:before="80" w:after="8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§4  Business Logic &amp; Validation Rules</w:t>
      </w:r>
    </w:p>
    <w:p>
      <w:pPr>
        <w:pStyle w:val="Heading2"/>
        <w:spacing w:before="280" w:after="120"/>
      </w:pPr>
      <w:r>
        <w:rPr>
          <w:rFonts w:ascii="Arial" w:cs="Arial" w:eastAsia="Arial" w:hAnsi="Arial"/>
          <w:b/>
          <w:bCs/>
          <w:color w:val="4f46e5"/>
          <w:sz w:val="22"/>
          <w:szCs w:val="22"/>
        </w:rPr>
        <w:t xml:space="preserve">4.1  Unit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Category Family</w:t>
            </w:r>
          </w:p>
        </w:tc>
        <w:tc>
          <w:tcPr>
            <w:tcW w:type="dxa" w:w="6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Permitted Units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energy_*</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kWh (primary), MWh (converted on ingestion x 1000), GJ (x 277.78)</w:t>
            </w:r>
          </w:p>
        </w:tc>
      </w:tr>
      <w:tr>
        <w:tc>
          <w:tcPr>
            <w:tcW w:type="dxa" w:w="2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water_*</w:t>
            </w:r>
          </w:p>
        </w:tc>
        <w:tc>
          <w:tcPr>
            <w:tcW w:type="dxa" w:w="6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m3 (primary), litres (/ 1000), gallons (x 0.00378541)</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waste_*</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tonnes (primary), kg (/ 1000)</w:t>
            </w:r>
          </w:p>
        </w:tc>
      </w:tr>
      <w:tr>
        <w:tc>
          <w:tcPr>
            <w:tcW w:type="dxa" w:w="2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emissions_*</w:t>
            </w:r>
          </w:p>
        </w:tc>
        <w:tc>
          <w:tcPr>
            <w:tcW w:type="dxa" w:w="6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tCO2e only — written by Emissions Engine exclusively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refrigerant_loss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kg only</w:t>
            </w:r>
          </w:p>
        </w:tc>
      </w:tr>
    </w:tbl>
    <w:p>
      <w:pPr>
        <w:pStyle w:val="Heading2"/>
        <w:spacing w:before="280" w:after="120"/>
      </w:pPr>
      <w:r>
        <w:rPr>
          <w:rFonts w:ascii="Arial" w:cs="Arial" w:eastAsia="Arial" w:hAnsi="Arial"/>
          <w:b/>
          <w:bCs/>
          <w:color w:val="4f46e5"/>
          <w:sz w:val="22"/>
          <w:szCs w:val="22"/>
        </w:rPr>
        <w:t xml:space="preserve">4.2  Period Overlap Handling</w:t>
      </w:r>
    </w:p>
    <w:p>
      <w:pPr>
        <w:spacing w:before="80" w:after="80"/>
      </w:pPr>
      <w:r>
        <w:rPr>
          <w:rFonts w:ascii="Arial" w:cs="Arial" w:eastAsia="Arial" w:hAnsi="Arial"/>
          <w:sz w:val="20"/>
          <w:szCs w:val="20"/>
        </w:rPr>
        <w:t xml:space="preserve">The system allows overlapping periods for the same property + subject_category but treats them as a warning, not a block. The Coverage Engine uses the most recently validated record for a given slot.</w:t>
      </w:r>
    </w:p>
    <w:p>
      <w:pPr>
        <w:pStyle w:val="Heading2"/>
        <w:spacing w:before="280" w:after="120"/>
      </w:pPr>
      <w:r>
        <w:rPr>
          <w:rFonts w:ascii="Arial" w:cs="Arial" w:eastAsia="Arial" w:hAnsi="Arial"/>
          <w:b/>
          <w:bCs/>
          <w:color w:val="4f46e5"/>
          <w:sz w:val="22"/>
          <w:szCs w:val="22"/>
        </w:rPr>
        <w:t xml:space="preserve">4.3  Confidence Level Rules — Two-Layer Model</w:t>
      </w:r>
    </w:p>
    <w:p>
      <w:pPr>
        <w:pBdr>
          <w:left w:val="single" w:color="4f46e5" w:sz="8" w:space="4"/>
        </w:pBdr>
        <w:shd w:fill="f0f0f8" w:val="clear"/>
        <w:spacing w:before="80" w:after="80"/>
        <w:ind w:left="200"/>
      </w:pPr>
      <w:r>
        <w:rPr>
          <w:rFonts w:ascii="Arial" w:cs="Arial" w:eastAsia="Arial" w:hAnsi="Arial"/>
          <w:i/>
          <w:iCs/>
          <w:color w:val="1a1a2e"/>
          <w:sz w:val="18"/>
          <w:szCs w:val="18"/>
        </w:rPr>
        <w:t xml:space="preserve">v4 change: Confidence is now a two-layer system. The data_source sets a system default. The user must confirm or override at submission time. For uploaded invoices, a UI prompt asks whether the invoice shows exact consumption units — the answer drives the default.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data_source</w:t>
            </w:r>
          </w:p>
        </w:tc>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System Default</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Override Allowed?</w:t>
            </w:r>
          </w:p>
        </w:tc>
        <w:tc>
          <w:tcPr>
            <w:tcW w:type="dxa" w:w="3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connector (3rd party API/BMS)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measured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If connector provides cost-only data, system flags for override to cost_only</w:t>
            </w:r>
          </w:p>
        </w:tc>
      </w:tr>
      <w:tr>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invoice (uploaded bill — with units)</w:t>
            </w:r>
          </w:p>
        </w:tc>
        <w:tc>
          <w:tcPr>
            <w:tcW w:type="dxa" w:w="1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measured</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Yes</w:t>
            </w:r>
          </w:p>
        </w:tc>
        <w:tc>
          <w:tcPr>
            <w:tcW w:type="dxa" w:w="3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UI prompt: 'Does this invoice show exact kWh/m3?' Yes = measured default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invoice (service charge / no unit breakdown)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allocated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UI prompt answer No = allocated default. Methodology evidence required.</w:t>
            </w:r>
          </w:p>
        </w:tc>
      </w:tr>
      <w:tr>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manual</w:t>
            </w:r>
          </w:p>
        </w:tc>
        <w:tc>
          <w:tcPr>
            <w:tcW w:type="dxa" w:w="1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None — user must select</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N/A</w:t>
            </w:r>
          </w:p>
        </w:tc>
        <w:tc>
          <w:tcPr>
            <w:tcW w:type="dxa" w:w="3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User explicitly chooses measured, allocated, or estimated. No default.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bms (BMS export)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measured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Direct sensor/meter export</w:t>
            </w:r>
          </w:p>
        </w:tc>
      </w:tr>
      <w:tr>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agent (AI agent derived)</w:t>
            </w:r>
          </w:p>
        </w:tc>
        <w:tc>
          <w:tcPr>
            <w:tcW w:type="dxa" w:w="1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estimated</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Yes</w:t>
            </w:r>
          </w:p>
        </w:tc>
        <w:tc>
          <w:tcPr>
            <w:tcW w:type="dxa" w:w="3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Agent-modelled data. User may upgrade to allocated if methodology attached.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shared_data (external contributor)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As submitted by contributor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Yes — by validator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Validator must review and confirm or override on validation.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4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35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Disclosure Requirement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measured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Data from a calibrated meter or sensor reading</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r>
      <w:tr>
        <w:tc>
          <w:tcPr>
            <w:tcW w:type="dxa" w:w="1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allocated</w:t>
            </w:r>
          </w:p>
        </w:tc>
        <w:tc>
          <w:tcPr>
            <w:tcW w:type="dxa" w:w="4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Derived from a parent meter via a documented allocation formula</w:t>
            </w:r>
          </w:p>
        </w:tc>
        <w:tc>
          <w:tcPr>
            <w:tcW w:type="dxa" w:w="35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Methodology document must be attached as evidence_role = methodology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estimated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Modelled or extrapolated; no meter data available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Must be flagged in ESG reports. SECR requires disclosure if &gt; 20% of total.</w:t>
            </w:r>
          </w:p>
        </w:tc>
      </w:tr>
      <w:tr>
        <w:tc>
          <w:tcPr>
            <w:tcW w:type="dxa" w:w="1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cost_only</w:t>
            </w:r>
          </w:p>
        </w:tc>
        <w:tc>
          <w:tcPr>
            <w:tcW w:type="dxa" w:w="4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Derived from expenditure using cost-per-unit factor</w:t>
            </w:r>
          </w:p>
        </w:tc>
        <w:tc>
          <w:tcPr>
            <w:tcW w:type="dxa" w:w="35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Excluded from kWh totals in regulatory reports. Cannot be marked approved without methodology document.</w:t>
            </w:r>
          </w:p>
        </w:tc>
      </w:tr>
    </w:tbl>
    <w:p>
      <w:pPr>
        <w:spacing w:before="80" w:after="80"/>
      </w:pPr>
      <w:r>
        <w:t xml:space="preserve"/>
      </w:r>
    </w:p>
    <w:p>
      <w:pPr>
        <w:pStyle w:val="Heading2"/>
        <w:spacing w:before="280" w:after="120"/>
      </w:pPr>
      <w:r>
        <w:rPr>
          <w:rFonts w:ascii="Arial" w:cs="Arial" w:eastAsia="Arial" w:hAnsi="Arial"/>
          <w:b/>
          <w:bCs/>
          <w:color w:val="4f46e5"/>
          <w:sz w:val="22"/>
          <w:szCs w:val="22"/>
        </w:rPr>
        <w:t xml:space="preserve">4.4  Validation Status Lifecycle</w:t>
      </w:r>
    </w:p>
    <w:p>
      <w:pPr>
        <w:pBdr>
          <w:left w:val="single" w:color="4f46e5" w:sz="8" w:space="4"/>
        </w:pBdr>
        <w:shd w:fill="f0f0f8" w:val="clear"/>
        <w:spacing w:before="80" w:after="80"/>
        <w:ind w:left="200"/>
      </w:pPr>
      <w:r>
        <w:rPr>
          <w:rFonts w:ascii="Arial" w:cs="Arial" w:eastAsia="Arial" w:hAnsi="Arial"/>
          <w:i/>
          <w:iCs/>
          <w:color w:val="1a1a2e"/>
          <w:sz w:val="18"/>
          <w:szCs w:val="18"/>
        </w:rPr>
        <w:t xml:space="preserve">unvalidated → evidence_attached → under_review → approved
↘ rejected → unvalidated (re-open)
↘ flagged_for_review → under_review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9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unvalidated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Default on creation. No evidence attached.</w:t>
            </w:r>
          </w:p>
        </w:tc>
      </w:tr>
      <w:tr>
        <w:tc>
          <w:tcPr>
            <w:tcW w:type="dxa" w:w="2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evidence_attached</w:t>
            </w:r>
          </w:p>
        </w:tc>
        <w:tc>
          <w:tcPr>
            <w:tcW w:type="dxa" w:w="6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At least one evidence_attachment exists. Auto-set on first attachment.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under_review</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Validator has opened the record for review.</w:t>
            </w:r>
          </w:p>
        </w:tc>
      </w:tr>
      <w:tr>
        <w:tc>
          <w:tcPr>
            <w:tcW w:type="dxa" w:w="2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approved</w:t>
            </w:r>
          </w:p>
        </w:tc>
        <w:tc>
          <w:tcPr>
            <w:tcW w:type="dxa" w:w="6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Validator submitted action = approved. Record is locked for edits.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rejected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Validator submitted action = rejected. Record reverts to unvalidated; agent_findings written.</w:t>
            </w:r>
          </w:p>
        </w:tc>
      </w:tr>
      <w:tr>
        <w:tc>
          <w:tcPr>
            <w:tcW w:type="dxa" w:w="2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flagged_for_review</w:t>
            </w:r>
          </w:p>
        </w:tc>
        <w:tc>
          <w:tcPr>
            <w:tcW w:type="dxa" w:w="69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Validator or agent flagged an issue. Sends notification to assigned reviewer.</w:t>
            </w:r>
          </w:p>
        </w:tc>
      </w:tr>
    </w:tbl>
    <w:p>
      <w:pPr>
        <w:spacing w:before="80" w:after="80"/>
      </w:pPr>
      <w:r>
        <w:t xml:space="preserve"/>
      </w:r>
    </w:p>
    <w:p>
      <w:pPr>
        <w:pStyle w:val="Heading2"/>
        <w:spacing w:before="280" w:after="120"/>
      </w:pPr>
      <w:r>
        <w:rPr>
          <w:rFonts w:ascii="Arial" w:cs="Arial" w:eastAsia="Arial" w:hAnsi="Arial"/>
          <w:b/>
          <w:bCs/>
          <w:color w:val="4f46e5"/>
          <w:sz w:val="22"/>
          <w:szCs w:val="22"/>
        </w:rPr>
        <w:t xml:space="preserve">4.5  Waste Stream Type Validation</w:t>
      </w:r>
    </w:p>
    <w:p>
      <w:pPr>
        <w:spacing w:before="80" w:after="80"/>
      </w:pPr>
      <w:r>
        <w:rPr>
          <w:rFonts w:ascii="Arial" w:cs="Arial" w:eastAsia="Arial" w:hAnsi="Arial"/>
          <w:sz w:val="20"/>
          <w:szCs w:val="20"/>
        </w:rPr>
        <w:t xml:space="preserve">If subject_category is any waste_* category, waste_stream_type is required. The API returns 400 MISSING_WASTE_STREAM_TYPE if absent. If waste_stream_type = general, no further validation is applied. All other values are accepted as free-text enum (checked against the list in §3.3); unrecognised values return a warning but are not blocked.</w:t>
      </w:r>
    </w:p>
    <w:p>
      <w:pPr>
        <w:pStyle w:val="Heading2"/>
        <w:spacing w:before="280" w:after="120"/>
      </w:pPr>
      <w:r>
        <w:rPr>
          <w:rFonts w:ascii="Arial" w:cs="Arial" w:eastAsia="Arial" w:hAnsi="Arial"/>
          <w:b/>
          <w:bCs/>
          <w:color w:val="4f46e5"/>
          <w:sz w:val="22"/>
          <w:szCs w:val="22"/>
        </w:rPr>
        <w:t xml:space="preserve">4.6  Shared Data Validation Rules</w:t>
      </w:r>
    </w:p>
    <w:p>
      <w:pPr>
        <w:pStyle w:val="ListParagraph"/>
        <w:numPr>
          <w:ilvl w:val="0"/>
          <w:numId w:val="2"/>
        </w:numPr>
        <w:spacing w:before="40" w:after="40"/>
      </w:pPr>
      <w:r>
        <w:rPr>
          <w:rFonts w:ascii="Arial" w:cs="Arial" w:eastAsia="Arial" w:hAnsi="Arial"/>
          <w:sz w:val="20"/>
          <w:szCs w:val="20"/>
        </w:rPr>
        <w:t xml:space="preserve">Shared Data records (data_source = shared_data) cannot be auto-approved. validation_status may only be set to approved via the standard human validation flow.</w:t>
      </w:r>
    </w:p>
    <w:p>
      <w:pPr>
        <w:pStyle w:val="ListParagraph"/>
        <w:numPr>
          <w:ilvl w:val="0"/>
          <w:numId w:val="2"/>
        </w:numPr>
        <w:spacing w:before="40" w:after="40"/>
      </w:pPr>
      <w:r>
        <w:rPr>
          <w:rFonts w:ascii="Arial" w:cs="Arial" w:eastAsia="Arial" w:hAnsi="Arial"/>
          <w:sz w:val="20"/>
          <w:szCs w:val="20"/>
        </w:rPr>
        <w:t xml:space="preserve">The contributor_id field is set by the API from the token identity. It cannot be set or overridden by the request body.</w:t>
      </w:r>
    </w:p>
    <w:p>
      <w:pPr>
        <w:pStyle w:val="ListParagraph"/>
        <w:numPr>
          <w:ilvl w:val="0"/>
          <w:numId w:val="2"/>
        </w:numPr>
        <w:spacing w:before="40" w:after="40"/>
      </w:pPr>
      <w:r>
        <w:rPr>
          <w:rFonts w:ascii="Arial" w:cs="Arial" w:eastAsia="Arial" w:hAnsi="Arial"/>
          <w:sz w:val="20"/>
          <w:szCs w:val="20"/>
        </w:rPr>
        <w:t xml:space="preserve">Account Admin may revoke a shared_data token at any time. Existing records contributed by that token are retained but flagged in the UI.</w:t>
      </w:r>
    </w:p>
    <w:p>
      <w:pPr>
        <w:pStyle w:val="ListParagraph"/>
        <w:numPr>
          <w:ilvl w:val="0"/>
          <w:numId w:val="2"/>
        </w:numPr>
        <w:spacing w:before="40" w:after="40"/>
      </w:pPr>
      <w:r>
        <w:rPr>
          <w:rFonts w:ascii="Arial" w:cs="Arial" w:eastAsia="Arial" w:hAnsi="Arial"/>
          <w:sz w:val="20"/>
          <w:szCs w:val="20"/>
        </w:rPr>
        <w:t xml:space="preserve">Shared Data records appear with a distinct visual tag in the Data Library UI.</w:t>
      </w:r>
    </w:p>
    <w:p>
      <w:pPr>
        <w:pStyle w:val="Heading2"/>
        <w:spacing w:before="280" w:after="120"/>
      </w:pPr>
      <w:r>
        <w:rPr>
          <w:rFonts w:ascii="Arial" w:cs="Arial" w:eastAsia="Arial" w:hAnsi="Arial"/>
          <w:b/>
          <w:bCs/>
          <w:color w:val="4f46e5"/>
          <w:sz w:val="22"/>
          <w:szCs w:val="22"/>
        </w:rPr>
        <w:t xml:space="preserve">4.7  Emissions Category Guard</w:t>
      </w:r>
    </w:p>
    <w:p>
      <w:pPr>
        <w:pBdr>
          <w:left w:val="single" w:color="dc2626" w:sz="8" w:space="4"/>
        </w:pBdr>
        <w:shd w:fill="fee2e2" w:val="clear"/>
        <w:spacing w:before="80" w:after="80"/>
        <w:ind w:left="200"/>
      </w:pPr>
      <w:r>
        <w:rPr>
          <w:rFonts w:ascii="Arial" w:cs="Arial" w:eastAsia="Arial" w:hAnsi="Arial"/>
          <w:b/>
          <w:bCs/>
          <w:color w:val="991b1b"/>
          <w:sz w:val="18"/>
          <w:szCs w:val="18"/>
        </w:rPr>
        <w:t xml:space="preserve">⛔ Server-side function checks subject_category before insert. If category starts with emissions_, the function returns HTTP 400 EMISSIONS_WRITE_BLOCKED. Emission records are derived by the Emissions Engine and cannot be created manually.</w:t>
      </w:r>
    </w:p>
    <w:p>
      <w:pPr>
        <w:spacing w:before="80" w:after="80"/>
      </w:pPr>
      <w:r>
        <w:t xml:space="preserve"/>
      </w:r>
    </w:p>
    <w:p>
      <w:pPr>
        <w:pStyle w:val="Heading2"/>
        <w:spacing w:before="280" w:after="120"/>
      </w:pPr>
      <w:r>
        <w:rPr>
          <w:rFonts w:ascii="Arial" w:cs="Arial" w:eastAsia="Arial" w:hAnsi="Arial"/>
          <w:b/>
          <w:bCs/>
          <w:color w:val="4f46e5"/>
          <w:sz w:val="22"/>
          <w:szCs w:val="22"/>
        </w:rPr>
        <w:t xml:space="preserve">4.8  Approved Record Lock</w:t>
      </w:r>
    </w:p>
    <w:p>
      <w:pPr>
        <w:spacing w:before="80" w:after="80"/>
      </w:pPr>
      <w:r>
        <w:rPr>
          <w:rFonts w:ascii="Arial" w:cs="Arial" w:eastAsia="Arial" w:hAnsi="Arial"/>
          <w:sz w:val="20"/>
          <w:szCs w:val="20"/>
        </w:rPr>
        <w:t xml:space="preserve">Records with validation_status = approved are locked for mutation. PATCH /records/:id returns 409 RECORD_LOCKED. Admin override: admin may set validation_status back to unvalidated via PATCH /records/:id/unlock.</w:t>
      </w:r>
    </w:p>
    <w:p>
      <w:pPr>
        <w:pStyle w:val="Heading1"/>
        <w:pBdr>
          <w:bottom w:val="single" w:color="4f46e5" w:sz="4" w:space="4"/>
        </w:pBdr>
        <w:spacing w:before="360" w:after="160"/>
      </w:pPr>
      <w:r>
        <w:rPr>
          <w:rFonts w:ascii="Arial" w:cs="Arial" w:eastAsia="Arial" w:hAnsi="Arial"/>
          <w:b/>
          <w:bCs/>
          <w:color w:val="1a1a2e"/>
          <w:sz w:val="28"/>
          <w:szCs w:val="28"/>
        </w:rPr>
        <w:t xml:space="preserve">§5  Authentication &amp; Authorization</w:t>
      </w:r>
    </w:p>
    <w:p>
      <w:pPr>
        <w:pStyle w:val="Heading2"/>
        <w:spacing w:before="280" w:after="120"/>
      </w:pPr>
      <w:r>
        <w:rPr>
          <w:rFonts w:ascii="Arial" w:cs="Arial" w:eastAsia="Arial" w:hAnsi="Arial"/>
          <w:b/>
          <w:bCs/>
          <w:color w:val="4f46e5"/>
          <w:sz w:val="22"/>
          <w:szCs w:val="22"/>
        </w:rPr>
        <w:t xml:space="preserve">5.1  Authentication</w:t>
      </w:r>
    </w:p>
    <w:p>
      <w:pPr>
        <w:spacing w:before="80" w:after="80"/>
      </w:pPr>
      <w:r>
        <w:rPr>
          <w:rFonts w:ascii="Arial" w:cs="Arial" w:eastAsia="Arial" w:hAnsi="Arial"/>
          <w:sz w:val="20"/>
          <w:szCs w:val="20"/>
        </w:rPr>
        <w:t xml:space="preserve">All API endpoints require a Supabase JWT in the Authorization header: Bearer {token}. Shared Data ingestion uses scoped API tokens issued by the Account Admin, stored in Supabase Vault.</w:t>
      </w:r>
    </w:p>
    <w:p>
      <w:pPr>
        <w:pStyle w:val="Heading2"/>
        <w:spacing w:before="280" w:after="120"/>
      </w:pPr>
      <w:r>
        <w:rPr>
          <w:rFonts w:ascii="Arial" w:cs="Arial" w:eastAsia="Arial" w:hAnsi="Arial"/>
          <w:b/>
          <w:bCs/>
          <w:color w:val="4f46e5"/>
          <w:sz w:val="22"/>
          <w:szCs w:val="22"/>
        </w:rPr>
        <w:t xml:space="preserve">5.2  Role-Based Access Control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900"/>
        <w:gridCol w:w="1200"/>
        <w:gridCol w:w="1460"/>
      </w:tblGrid>
      <w:tr>
        <w:tc>
          <w:tcPr>
            <w:tcW w:type="dxa" w:w="3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member</w:t>
            </w:r>
          </w:p>
        </w:tc>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validator</w:t>
            </w:r>
          </w:p>
        </w:tc>
        <w:tc>
          <w:tcPr>
            <w:tcW w:type="dxa" w:w="9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admin</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service_role</w:t>
            </w:r>
          </w:p>
        </w:tc>
        <w:tc>
          <w:tcPr>
            <w:tcW w:type="dxa" w:w="14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shared_data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GET records (own account)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3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POST record</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14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POST shared-record</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3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PATCH record (unlocked)</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14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DELETE record (soft)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3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POST evidence attachment</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14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POST validation action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3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PATCH record/unlock</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14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GET audit trail</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3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POST /coverage/evaluate</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14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POST /import (CSV)</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3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Write agent_findings</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14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Issue shared_data tokens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bl>
    <w:p>
      <w:pPr>
        <w:spacing w:before="80" w:after="8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§6  State &amp; Workflow</w:t>
      </w:r>
    </w:p>
    <w:p>
      <w:pPr>
        <w:pStyle w:val="Heading2"/>
        <w:spacing w:before="280" w:after="120"/>
      </w:pPr>
      <w:r>
        <w:rPr>
          <w:rFonts w:ascii="Arial" w:cs="Arial" w:eastAsia="Arial" w:hAnsi="Arial"/>
          <w:b/>
          <w:bCs/>
          <w:color w:val="4f46e5"/>
          <w:sz w:val="22"/>
          <w:szCs w:val="22"/>
        </w:rPr>
        <w:t xml:space="preserve">6.1  Record Lifecycle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1600"/>
        <w:gridCol w:w="2560"/>
      </w:tblGrid>
      <w:tr>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From State</w:t>
            </w:r>
          </w:p>
        </w:tc>
        <w:tc>
          <w:tcPr>
            <w:tcW w:type="dxa" w:w="20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To State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25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Side Effects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POST /records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unvalidated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user / agent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audit_events write; Coverage Engine trigger</w:t>
            </w:r>
          </w:p>
        </w:tc>
      </w:tr>
      <w:tr>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POST /shared-records</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unvalidated</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shared_data contributor</w:t>
            </w:r>
          </w:p>
        </w:tc>
        <w:tc>
          <w:tcPr>
            <w:tcW w:type="dxa" w:w="25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contributor_id set; audit_events write; Coverage Engine trigger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unvalidated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POST /evidence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evidence_attached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user / agent</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audit_events write; Coverage Engine trigger</w:t>
            </w:r>
          </w:p>
        </w:tc>
      </w:tr>
      <w:tr>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evidence_attached</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POST /validate {approved}</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approved</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validator / admin</w:t>
            </w:r>
          </w:p>
        </w:tc>
        <w:tc>
          <w:tcPr>
            <w:tcW w:type="dxa" w:w="25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audit_events write; Coverage Engine trigger; record locked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evidence_attached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POST /validate {rejected}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rejected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validator / admin</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audit_events write; agent_findings write; Coverage Engine trigger</w:t>
            </w:r>
          </w:p>
        </w:tc>
      </w:tr>
      <w:tr>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evidence_attached</w:t>
            </w:r>
          </w:p>
        </w:tc>
        <w:tc>
          <w:tcPr>
            <w:tcW w:type="dxa" w:w="20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POST /validate {flagged}</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flagged_for_review</w:t>
            </w:r>
          </w:p>
        </w:tc>
        <w:tc>
          <w:tcPr>
            <w:tcW w:type="dxa" w:w="16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validator / admin</w:t>
            </w:r>
          </w:p>
        </w:tc>
        <w:tc>
          <w:tcPr>
            <w:tcW w:type="dxa" w:w="25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audit_events write; notification sent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approved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PATCH /records/:id/unlock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unvalidated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admin only</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audit_events write (action = admin_unlock)</w:t>
            </w:r>
          </w:p>
        </w:tc>
      </w:tr>
    </w:tbl>
    <w:p>
      <w:pPr>
        <w:spacing w:before="80" w:after="8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§7  Error Handling</w:t>
      </w:r>
    </w:p>
    <w:p>
      <w:pPr>
        <w:pStyle w:val="Heading2"/>
        <w:spacing w:before="280" w:after="120"/>
      </w:pPr>
      <w:r>
        <w:rPr>
          <w:rFonts w:ascii="Arial" w:cs="Arial" w:eastAsia="Arial" w:hAnsi="Arial"/>
          <w:b/>
          <w:bCs/>
          <w:color w:val="4f46e5"/>
          <w:sz w:val="22"/>
          <w:szCs w:val="22"/>
        </w:rPr>
        <w:t xml:space="preserve">7.1  Error Code Reference — v4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HTTP Status</w:t>
            </w:r>
          </w:p>
        </w:tc>
        <w:tc>
          <w:tcPr>
            <w:tcW w:type="dxa" w:w="28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Error Code</w:t>
            </w:r>
          </w:p>
        </w:tc>
        <w:tc>
          <w:tcPr>
            <w:tcW w:type="dxa" w:w="5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Trigger Condition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400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MISSING_WASTE_STREAM_TYPE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waste_* category record submitted without waste_stream_type</w:t>
            </w:r>
          </w:p>
        </w:tc>
      </w:tr>
      <w:tr>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400</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EMISSIONS_WRITE_BLOCKED</w:t>
            </w:r>
          </w:p>
        </w:tc>
        <w:tc>
          <w:tcPr>
            <w:tcW w:type="dxa" w:w="51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Attempt to create emissions_* record manually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400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INVALID_UNIT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Unit incompatible with subject_category</w:t>
            </w:r>
          </w:p>
        </w:tc>
      </w:tr>
      <w:tr>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400</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INVALID_PERIOD</w:t>
            </w:r>
          </w:p>
        </w:tc>
        <w:tc>
          <w:tcPr>
            <w:tcW w:type="dxa" w:w="51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period_end &lt; period_start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400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MISSING_REQUIRED_FIELD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Required field absent from request body</w:t>
            </w:r>
          </w:p>
        </w:tc>
      </w:tr>
      <w:tr>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403</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SHARED_DATA_TOKEN_REVOKED</w:t>
            </w:r>
          </w:p>
        </w:tc>
        <w:tc>
          <w:tcPr>
            <w:tcW w:type="dxa" w:w="51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shared_data token has been revoked by Account Admin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403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INSUFFICIENT_ROLE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Action requires validator, admin, or shared_data role</w:t>
            </w:r>
          </w:p>
        </w:tc>
      </w:tr>
      <w:tr>
        <w:tc>
          <w:tcPr>
            <w:tcW w:type="dxa" w:w="14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409</w:t>
            </w:r>
          </w:p>
        </w:tc>
        <w:tc>
          <w:tcPr>
            <w:tcW w:type="dxa" w:w="280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RECORD_LOCKED</w:t>
            </w:r>
          </w:p>
        </w:tc>
        <w:tc>
          <w:tcPr>
            <w:tcW w:type="dxa" w:w="5160"/>
            <w:tcBorders>
              <w:top w:val="single" w:color="d1d5db" w:sz="1"/>
              <w:left w:val="single" w:color="d1d5db" w:sz="1"/>
              <w:bottom w:val="single" w:color="d1d5db" w:sz="1"/>
              <w:right w:val="single" w:color="d1d5db" w:sz="1"/>
            </w:tcBorders>
            <w:shd w:fill="f0f0f8" w:val="clear"/>
            <w:tcMar>
              <w:top w:type="dxa" w:w="80"/>
              <w:left w:type="dxa" w:w="120"/>
              <w:bottom w:type="dxa" w:w="80"/>
              <w:right w:type="dxa" w:w="120"/>
            </w:tcMar>
          </w:tcPr>
          <w:p>
            <w:r>
              <w:rPr>
                <w:rFonts w:ascii="Arial" w:cs="Arial" w:eastAsia="Arial" w:hAnsi="Arial"/>
                <w:sz w:val="18"/>
                <w:szCs w:val="18"/>
              </w:rPr>
              <w:t xml:space="preserve">Attempt to mutate an approved record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409</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EVIDENCE_REQUIRED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Attempt to approve record with no evidence attached</w:t>
            </w:r>
          </w:p>
        </w:tc>
      </w:tr>
    </w:tbl>
    <w:p>
      <w:pPr>
        <w:spacing w:before="80" w:after="8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§8  External Integrations &amp; Events</w:t>
      </w:r>
    </w:p>
    <w:p>
      <w:pPr>
        <w:pStyle w:val="Heading2"/>
        <w:spacing w:before="280" w:after="120"/>
      </w:pPr>
      <w:r>
        <w:rPr>
          <w:rFonts w:ascii="Arial" w:cs="Arial" w:eastAsia="Arial" w:hAnsi="Arial"/>
          <w:b/>
          <w:bCs/>
          <w:color w:val="4f46e5"/>
          <w:sz w:val="22"/>
          <w:szCs w:val="22"/>
        </w:rPr>
        <w:t xml:space="preserve">8.1  Emissions Engine</w:t>
      </w:r>
    </w:p>
    <w:p>
      <w:pPr>
        <w:spacing w:before="80" w:after="80"/>
      </w:pPr>
      <w:r>
        <w:rPr>
          <w:rFonts w:ascii="Arial" w:cs="Arial" w:eastAsia="Arial" w:hAnsi="Arial"/>
          <w:sz w:val="20"/>
          <w:szCs w:val="20"/>
        </w:rPr>
        <w:t xml:space="preserve">The Emissions Engine is a separate Secure module. It reads from data_library_records (energy/water/waste categories) and writes derived emission records back into data_library_records with subject_category = emissions_*. v4 additions:</w:t>
      </w:r>
    </w:p>
    <w:p>
      <w:pPr>
        <w:pStyle w:val="ListParagraph"/>
        <w:numPr>
          <w:ilvl w:val="0"/>
          <w:numId w:val="2"/>
        </w:numPr>
        <w:spacing w:before="40" w:after="40"/>
      </w:pPr>
      <w:r>
        <w:rPr>
          <w:rFonts w:ascii="Arial" w:cs="Arial" w:eastAsia="Arial" w:hAnsi="Arial"/>
          <w:sz w:val="20"/>
          <w:szCs w:val="20"/>
        </w:rPr>
        <w:t xml:space="preserve">Emissions Engine now writes emissions_scope1_landlord and emissions_scope1_tenant separately, based on the subject_category of the source energy record (landlord vs tenant suffix).</w:t>
      </w:r>
    </w:p>
    <w:p>
      <w:pPr>
        <w:pStyle w:val="ListParagraph"/>
        <w:numPr>
          <w:ilvl w:val="0"/>
          <w:numId w:val="2"/>
        </w:numPr>
        <w:spacing w:before="40" w:after="40"/>
      </w:pPr>
      <w:r>
        <w:rPr>
          <w:rFonts w:ascii="Arial" w:cs="Arial" w:eastAsia="Arial" w:hAnsi="Arial"/>
          <w:sz w:val="20"/>
          <w:szCs w:val="20"/>
        </w:rPr>
        <w:t xml:space="preserve">emissions_scope3_commuting, emissions_scope3_waste, emissions_scope3_water, and emissions_scope3_upstream_energy are new derived categories. The Emissions Engine spec (separate document) defines the calculation methodology for each.</w:t>
      </w:r>
    </w:p>
    <w:p>
      <w:pPr>
        <w:pStyle w:val="ListParagraph"/>
        <w:numPr>
          <w:ilvl w:val="0"/>
          <w:numId w:val="2"/>
        </w:numPr>
        <w:spacing w:before="40" w:after="40"/>
      </w:pPr>
      <w:r>
        <w:rPr>
          <w:rFonts w:ascii="Arial" w:cs="Arial" w:eastAsia="Arial" w:hAnsi="Arial"/>
          <w:sz w:val="20"/>
          <w:szCs w:val="20"/>
        </w:rPr>
        <w:t xml:space="preserve">The Data Library must never allow user writes to any emissions_* category. The API guard (§4.7) enforces this.</w:t>
      </w:r>
    </w:p>
    <w:p>
      <w:pPr>
        <w:pStyle w:val="Heading2"/>
        <w:spacing w:before="280" w:after="120"/>
      </w:pPr>
      <w:r>
        <w:rPr>
          <w:rFonts w:ascii="Arial" w:cs="Arial" w:eastAsia="Arial" w:hAnsi="Arial"/>
          <w:b/>
          <w:bCs/>
          <w:color w:val="4f46e5"/>
          <w:sz w:val="22"/>
          <w:szCs w:val="22"/>
        </w:rPr>
        <w:t xml:space="preserve">8.2  Shared Data API Token Management</w:t>
      </w:r>
    </w:p>
    <w:p>
      <w:pPr>
        <w:spacing w:before="80" w:after="80"/>
      </w:pPr>
      <w:r>
        <w:rPr>
          <w:rFonts w:ascii="Arial" w:cs="Arial" w:eastAsia="Arial" w:hAnsi="Arial"/>
          <w:sz w:val="20"/>
          <w:szCs w:val="20"/>
        </w:rPr>
        <w:t xml:space="preserve">Account Admins issue scoped shared_data tokens via Account Settings &gt; Integrations &gt; Shared Data Contributors. Each token is associated with a contributor name and ID, stored in Supabase Vault. Tokens can be revoked at any time. Revocation does not delete existing records but flags them in the UI and blocks further ingestion from that token.</w:t>
      </w:r>
    </w:p>
    <w:p>
      <w:pPr>
        <w:pStyle w:val="Heading2"/>
        <w:spacing w:before="280" w:after="120"/>
      </w:pPr>
      <w:r>
        <w:rPr>
          <w:rFonts w:ascii="Arial" w:cs="Arial" w:eastAsia="Arial" w:hAnsi="Arial"/>
          <w:b/>
          <w:bCs/>
          <w:color w:val="4f46e5"/>
          <w:sz w:val="22"/>
          <w:szCs w:val="22"/>
        </w:rPr>
        <w:t xml:space="preserve">8.3  Supabase Storage &amp; Edge Functions</w:t>
      </w:r>
    </w:p>
    <w:p>
      <w:pPr>
        <w:spacing w:before="80" w:after="80"/>
      </w:pPr>
      <w:r>
        <w:rPr>
          <w:rFonts w:ascii="Arial" w:cs="Arial" w:eastAsia="Arial" w:hAnsi="Arial"/>
          <w:sz w:val="20"/>
          <w:szCs w:val="20"/>
        </w:rPr>
        <w:t xml:space="preserve">Unchanged from v3. See v3 §8.1–8.2. No breaking changes.</w:t>
      </w:r>
    </w:p>
    <w:p>
      <w:pPr>
        <w:spacing w:before="80" w:after="80"/>
      </w:pPr>
      <w:r>
        <w:t xml:space="preserve"/>
      </w:r>
    </w:p>
    <w:p>
      <w:pPr>
        <w:pStyle w:val="Heading1"/>
        <w:pBdr>
          <w:bottom w:val="single" w:color="4f46e5" w:sz="4" w:space="4"/>
        </w:pBdr>
        <w:spacing w:before="360" w:after="160"/>
      </w:pPr>
      <w:r>
        <w:rPr>
          <w:rFonts w:ascii="Arial" w:cs="Arial" w:eastAsia="Arial" w:hAnsi="Arial"/>
          <w:b/>
          <w:bCs/>
          <w:color w:val="1a1a2e"/>
          <w:sz w:val="28"/>
          <w:szCs w:val="28"/>
        </w:rPr>
        <w:t xml:space="preserve">§9  Open Items for v5</w:t>
      </w:r>
    </w:p>
    <w:p>
      <w:pPr>
        <w:pStyle w:val="ListParagraph"/>
        <w:numPr>
          <w:ilvl w:val="0"/>
          <w:numId w:val="2"/>
        </w:numPr>
        <w:spacing w:before="40" w:after="40"/>
      </w:pPr>
      <w:r>
        <w:rPr>
          <w:rFonts w:ascii="Arial" w:cs="Arial" w:eastAsia="Arial" w:hAnsi="Arial"/>
          <w:sz w:val="20"/>
          <w:szCs w:val="20"/>
        </w:rPr>
        <w:t xml:space="preserve">Portfolio-level aggregation: portfolio_id filter on GET /records and Coverage Engine aggregation across property sets. Deferred — all data is property-scoped in v4.</w:t>
      </w:r>
    </w:p>
    <w:p>
      <w:pPr>
        <w:pStyle w:val="ListParagraph"/>
        <w:numPr>
          <w:ilvl w:val="0"/>
          <w:numId w:val="2"/>
        </w:numPr>
        <w:spacing w:before="40" w:after="40"/>
      </w:pPr>
      <w:r>
        <w:rPr>
          <w:rFonts w:ascii="Arial" w:cs="Arial" w:eastAsia="Arial" w:hAnsi="Arial"/>
          <w:sz w:val="20"/>
          <w:szCs w:val="20"/>
        </w:rPr>
        <w:t xml:space="preserve">Currency and temperature configuration: account-level settings for preferred currency and temperature units. Currently out of scope for Data Library — belongs in Account Settings spec.</w:t>
      </w:r>
    </w:p>
    <w:p>
      <w:pPr>
        <w:pStyle w:val="ListParagraph"/>
        <w:numPr>
          <w:ilvl w:val="0"/>
          <w:numId w:val="2"/>
        </w:numPr>
        <w:spacing w:before="40" w:after="40"/>
      </w:pPr>
      <w:r>
        <w:rPr>
          <w:rFonts w:ascii="Arial" w:cs="Arial" w:eastAsia="Arial" w:hAnsi="Arial"/>
          <w:sz w:val="20"/>
          <w:szCs w:val="20"/>
        </w:rPr>
        <w:t xml:space="preserve">Properties &gt; Physical &amp; Technical &gt; end use nodes: space-level energy attribution below property level. Deferred.</w:t>
      </w:r>
    </w:p>
    <w:p>
      <w:pPr>
        <w:pStyle w:val="ListParagraph"/>
        <w:numPr>
          <w:ilvl w:val="0"/>
          <w:numId w:val="2"/>
        </w:numPr>
        <w:spacing w:before="40" w:after="40"/>
      </w:pPr>
      <w:r>
        <w:rPr>
          <w:rFonts w:ascii="Arial" w:cs="Arial" w:eastAsia="Arial" w:hAnsi="Arial"/>
          <w:sz w:val="20"/>
          <w:szCs w:val="20"/>
        </w:rPr>
        <w:t xml:space="preserve">UI flow specification: Data Library landing page dropdown behaviour, tile filtering, modal interactions. To be defined in a separate Frontend Spec / Cursor prompt document.</w:t>
      </w:r>
    </w:p>
    <w:p>
      <w:pPr>
        <w:pStyle w:val="ListParagraph"/>
        <w:numPr>
          <w:ilvl w:val="0"/>
          <w:numId w:val="2"/>
        </w:numPr>
        <w:spacing w:before="40" w:after="40"/>
      </w:pPr>
      <w:r>
        <w:rPr>
          <w:rFonts w:ascii="Arial" w:cs="Arial" w:eastAsia="Arial" w:hAnsi="Arial"/>
          <w:sz w:val="20"/>
          <w:szCs w:val="20"/>
        </w:rPr>
        <w:t xml:space="preserve">Utility billing configuration: the utility billing config panel referenced in the Lovable UI is not yet specced. To be addressed in v5 alongside the billing configuration module.</w:t>
      </w:r>
    </w:p>
    <w:p>
      <w:pPr>
        <w:spacing w:before="80" w:after="80"/>
      </w:pPr>
      <w:r>
        <w:t xml:space="preserve"/>
      </w:r>
    </w:p>
    <w:p>
      <w:pPr>
        <w:pBdr>
          <w:top w:val="single" w:color="d1d5db" w:sz="2" w:space="4"/>
        </w:pBdr>
        <w:spacing w:before="400" w:after="80"/>
      </w:pPr>
      <w:r>
        <w:rPr>
          <w:rFonts w:ascii="Arial" w:cs="Arial" w:eastAsia="Arial" w:hAnsi="Arial"/>
          <w:i/>
          <w:iCs/>
          <w:color w:val="6b7280"/>
          <w:sz w:val="18"/>
          <w:szCs w:val="18"/>
        </w:rPr>
        <w:t xml:space="preserve">End of Specification — Secure SoR Data Library v4.0 —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2" w:space="4"/>
      </w:pBdr>
    </w:pPr>
    <w:r>
      <w:rPr>
        <w:rFonts w:ascii="Arial" w:cs="Arial" w:eastAsia="Arial" w:hAnsi="Arial"/>
        <w:color w:val="6b7280"/>
        <w:sz w:val="16"/>
        <w:szCs w:val="16"/>
      </w:rPr>
      <w:t xml:space="preserve">Confidential — Apex Group / Omega Team</w:t>
    </w:r>
    <w:r>
      <w:rPr>
        <w:rFonts w:ascii="Arial" w:cs="Arial" w:eastAsia="Arial" w:hAnsi="Arial"/>
        <w:sz w:val="16"/>
        <w:szCs w:val="16"/>
      </w:rPr>
      <w:tab/>
      <w:tab/>
      <w:tab/>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2" w:space="4"/>
      </w:pBdr>
    </w:pPr>
    <w:r>
      <w:rPr>
        <w:rFonts w:ascii="Arial" w:cs="Arial" w:eastAsia="Arial" w:hAnsi="Arial"/>
        <w:color w:val="6b7280"/>
        <w:sz w:val="16"/>
        <w:szCs w:val="16"/>
      </w:rPr>
      <w:t xml:space="preserve">SECURE  |  Building Data Platform  |  Data Library Specification v4.0</w:t>
    </w:r>
    <w:r>
      <w:rPr>
        <w:rFonts w:ascii="Arial" w:cs="Arial" w:eastAsia="Arial" w:hAnsi="Arial"/>
        <w:i/>
        <w:iCs/>
        <w:color w:val="6b7280"/>
        <w:sz w:val="16"/>
        <w:szCs w:val="16"/>
      </w:rPr>
      <w:t xml:space="preserve">  |  DRAFT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4f46e5"/>
      <w:sz w:val="22"/>
      <w:szCs w:val="22"/>
    </w:rPr>
  </w:style>
  <w:style w:type="paragraph" w:styleId="Heading3">
    <w:name w:val="Heading 3"/>
    <w:basedOn w:val="Normal"/>
    <w:next w:val="Normal"/>
    <w:qFormat/>
    <w:pPr>
      <w:spacing w:before="200" w:after="80"/>
      <w:outlineLvl w:val="2"/>
    </w:pPr>
    <w:rPr>
      <w:rFonts w:ascii="Arial" w:cs="Arial" w:eastAsia="Arial" w:hAnsi="Arial"/>
      <w:b/>
      <w:bCs/>
      <w:color w:val="1a1a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2026-03-16T17:43:17.924Z</dcterms:created>
  <dcterms:modified xsi:type="dcterms:W3CDTF">2026-03-16T17:43:17.925Z</dcterms:modified>
</cp:coreProperties>
</file>

<file path=docProps/custom.xml><?xml version="1.0" encoding="utf-8"?>
<Properties xmlns="http://schemas.openxmlformats.org/officeDocument/2006/custom-properties" xmlns:vt="http://schemas.openxmlformats.org/officeDocument/2006/docPropsVTypes"/>
</file>