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CEAFA2" w14:textId="77777777" w:rsidR="00FC6C68" w:rsidRDefault="00000000">
      <w:pPr>
        <w:shd w:val="clear" w:color="auto" w:fill="0A1A2E"/>
        <w:spacing w:after="0"/>
        <w:ind w:left="-1417" w:right="-1417"/>
      </w:pPr>
      <w:r>
        <w:rPr>
          <w:rFonts w:ascii="Calibri" w:hAnsi="Calibri"/>
          <w:b/>
          <w:color w:val="0066FF"/>
          <w:sz w:val="40"/>
        </w:rPr>
        <w:t xml:space="preserve">  CYBRIXEN  </w:t>
      </w:r>
    </w:p>
    <w:p w14:paraId="1134A528" w14:textId="77777777" w:rsidR="00FC6C68" w:rsidRDefault="00FC6C68"/>
    <w:p w14:paraId="2BB0B810" w14:textId="77777777" w:rsidR="00FC6C68" w:rsidRDefault="00000000">
      <w:pPr>
        <w:spacing w:before="120" w:after="80"/>
      </w:pPr>
      <w:r>
        <w:rPr>
          <w:rFonts w:ascii="Calibri" w:hAnsi="Calibri"/>
          <w:b/>
          <w:color w:val="0A1A2E"/>
          <w:sz w:val="64"/>
        </w:rPr>
        <w:t>Junior Penetration</w:t>
      </w:r>
      <w:r>
        <w:rPr>
          <w:rFonts w:ascii="Calibri" w:hAnsi="Calibri"/>
          <w:b/>
          <w:color w:val="0A1A2E"/>
          <w:sz w:val="64"/>
        </w:rPr>
        <w:br/>
        <w:t>Testing Path</w:t>
      </w:r>
    </w:p>
    <w:p w14:paraId="3592110F" w14:textId="77777777" w:rsidR="00FC6C68" w:rsidRDefault="00000000">
      <w:pPr>
        <w:spacing w:after="240"/>
      </w:pPr>
      <w:r>
        <w:rPr>
          <w:rFonts w:ascii="Calibri" w:hAnsi="Calibri"/>
          <w:color w:val="444466"/>
          <w:sz w:val="24"/>
        </w:rPr>
        <w:t>Learning Path Design Document  ·  CYBRIXEN Platform</w:t>
      </w:r>
    </w:p>
    <w:tbl>
      <w:tblPr>
        <w:tblW w:w="0" w:type="auto"/>
        <w:tblLook w:val="04A0" w:firstRow="1" w:lastRow="0" w:firstColumn="1" w:lastColumn="0" w:noHBand="0" w:noVBand="1"/>
      </w:tblPr>
      <w:tblGrid>
        <w:gridCol w:w="4703"/>
        <w:gridCol w:w="4703"/>
      </w:tblGrid>
      <w:tr w:rsidR="00FC6C68" w14:paraId="34EB9805" w14:textId="77777777">
        <w:tc>
          <w:tcPr>
            <w:tcW w:w="4703" w:type="dxa"/>
            <w:tcBorders>
              <w:top w:val="single" w:sz="6" w:space="0" w:color="FFFFFF"/>
              <w:left w:val="single" w:sz="6" w:space="0" w:color="FFFFFF"/>
              <w:bottom w:val="single" w:sz="6" w:space="0" w:color="FFFFFF"/>
              <w:right w:val="single" w:sz="6" w:space="0" w:color="FFFFFF"/>
            </w:tcBorders>
            <w:shd w:val="clear" w:color="auto" w:fill="E8EDFF"/>
          </w:tcPr>
          <w:p w14:paraId="3FA53EB9" w14:textId="77777777" w:rsidR="00FC6C68" w:rsidRDefault="00000000">
            <w:pPr>
              <w:spacing w:before="80" w:after="80"/>
            </w:pPr>
            <w:r>
              <w:rPr>
                <w:rFonts w:ascii="Calibri" w:hAnsi="Calibri"/>
                <w:b/>
                <w:color w:val="0A1A2E"/>
                <w:sz w:val="20"/>
              </w:rPr>
              <w:t>Target Audience</w:t>
            </w:r>
          </w:p>
        </w:tc>
        <w:tc>
          <w:tcPr>
            <w:tcW w:w="4703" w:type="dxa"/>
            <w:tcBorders>
              <w:top w:val="single" w:sz="6" w:space="0" w:color="FFFFFF"/>
              <w:left w:val="single" w:sz="6" w:space="0" w:color="FFFFFF"/>
              <w:bottom w:val="single" w:sz="6" w:space="0" w:color="FFFFFF"/>
              <w:right w:val="single" w:sz="6" w:space="0" w:color="FFFFFF"/>
            </w:tcBorders>
            <w:shd w:val="clear" w:color="auto" w:fill="F8F9FF"/>
          </w:tcPr>
          <w:p w14:paraId="4164039E" w14:textId="77777777" w:rsidR="00FC6C68" w:rsidRDefault="00000000">
            <w:pPr>
              <w:spacing w:before="80" w:after="80"/>
            </w:pPr>
            <w:r>
              <w:rPr>
                <w:rFonts w:ascii="Calibri" w:hAnsi="Calibri"/>
                <w:color w:val="1A1A2E"/>
                <w:sz w:val="20"/>
              </w:rPr>
              <w:t>Complete beginners with little to no cybersecurity background</w:t>
            </w:r>
          </w:p>
        </w:tc>
      </w:tr>
      <w:tr w:rsidR="00FC6C68" w14:paraId="28EFF9F7" w14:textId="77777777">
        <w:tc>
          <w:tcPr>
            <w:tcW w:w="4703" w:type="dxa"/>
            <w:tcBorders>
              <w:top w:val="single" w:sz="6" w:space="0" w:color="FFFFFF"/>
              <w:left w:val="single" w:sz="6" w:space="0" w:color="FFFFFF"/>
              <w:bottom w:val="single" w:sz="6" w:space="0" w:color="FFFFFF"/>
              <w:right w:val="single" w:sz="6" w:space="0" w:color="FFFFFF"/>
            </w:tcBorders>
            <w:shd w:val="clear" w:color="auto" w:fill="E8EDFF"/>
          </w:tcPr>
          <w:p w14:paraId="4D33C691" w14:textId="77777777" w:rsidR="00FC6C68" w:rsidRDefault="00000000">
            <w:pPr>
              <w:spacing w:before="80" w:after="80"/>
            </w:pPr>
            <w:r>
              <w:rPr>
                <w:rFonts w:ascii="Calibri" w:hAnsi="Calibri"/>
                <w:b/>
                <w:color w:val="0A1A2E"/>
                <w:sz w:val="20"/>
              </w:rPr>
              <w:t>Goal</w:t>
            </w:r>
          </w:p>
        </w:tc>
        <w:tc>
          <w:tcPr>
            <w:tcW w:w="4703" w:type="dxa"/>
            <w:tcBorders>
              <w:top w:val="single" w:sz="6" w:space="0" w:color="FFFFFF"/>
              <w:left w:val="single" w:sz="6" w:space="0" w:color="FFFFFF"/>
              <w:bottom w:val="single" w:sz="6" w:space="0" w:color="FFFFFF"/>
              <w:right w:val="single" w:sz="6" w:space="0" w:color="FFFFFF"/>
            </w:tcBorders>
            <w:shd w:val="clear" w:color="auto" w:fill="F8F9FF"/>
          </w:tcPr>
          <w:p w14:paraId="56557ED8" w14:textId="77777777" w:rsidR="00FC6C68" w:rsidRDefault="00000000">
            <w:pPr>
              <w:spacing w:before="80" w:after="80"/>
            </w:pPr>
            <w:r>
              <w:rPr>
                <w:rFonts w:ascii="Calibri" w:hAnsi="Calibri"/>
                <w:color w:val="1A1A2E"/>
                <w:sz w:val="20"/>
              </w:rPr>
              <w:t>Entry-level penetration testing skills across web, network, and systems</w:t>
            </w:r>
          </w:p>
        </w:tc>
      </w:tr>
      <w:tr w:rsidR="00FC6C68" w14:paraId="315DBF62" w14:textId="77777777">
        <w:tc>
          <w:tcPr>
            <w:tcW w:w="4703" w:type="dxa"/>
            <w:tcBorders>
              <w:top w:val="single" w:sz="6" w:space="0" w:color="FFFFFF"/>
              <w:left w:val="single" w:sz="6" w:space="0" w:color="FFFFFF"/>
              <w:bottom w:val="single" w:sz="6" w:space="0" w:color="FFFFFF"/>
              <w:right w:val="single" w:sz="6" w:space="0" w:color="FFFFFF"/>
            </w:tcBorders>
            <w:shd w:val="clear" w:color="auto" w:fill="E8EDFF"/>
          </w:tcPr>
          <w:p w14:paraId="195535E0" w14:textId="77777777" w:rsidR="00FC6C68" w:rsidRDefault="00000000">
            <w:pPr>
              <w:spacing w:before="80" w:after="80"/>
            </w:pPr>
            <w:r>
              <w:rPr>
                <w:rFonts w:ascii="Calibri" w:hAnsi="Calibri"/>
                <w:b/>
                <w:color w:val="0A1A2E"/>
                <w:sz w:val="20"/>
              </w:rPr>
              <w:t>Estimated Completion</w:t>
            </w:r>
          </w:p>
        </w:tc>
        <w:tc>
          <w:tcPr>
            <w:tcW w:w="4703" w:type="dxa"/>
            <w:tcBorders>
              <w:top w:val="single" w:sz="6" w:space="0" w:color="FFFFFF"/>
              <w:left w:val="single" w:sz="6" w:space="0" w:color="FFFFFF"/>
              <w:bottom w:val="single" w:sz="6" w:space="0" w:color="FFFFFF"/>
              <w:right w:val="single" w:sz="6" w:space="0" w:color="FFFFFF"/>
            </w:tcBorders>
            <w:shd w:val="clear" w:color="auto" w:fill="F8F9FF"/>
          </w:tcPr>
          <w:p w14:paraId="75008E3D" w14:textId="77777777" w:rsidR="00FC6C68" w:rsidRDefault="00000000">
            <w:pPr>
              <w:spacing w:before="80" w:after="80"/>
            </w:pPr>
            <w:r>
              <w:rPr>
                <w:rFonts w:ascii="Calibri" w:hAnsi="Calibri"/>
                <w:color w:val="1A1A2E"/>
                <w:sz w:val="20"/>
              </w:rPr>
              <w:t>120 – 160 hours</w:t>
            </w:r>
          </w:p>
        </w:tc>
      </w:tr>
      <w:tr w:rsidR="00FC6C68" w14:paraId="36C758EF" w14:textId="77777777">
        <w:tc>
          <w:tcPr>
            <w:tcW w:w="4703" w:type="dxa"/>
            <w:tcBorders>
              <w:top w:val="single" w:sz="6" w:space="0" w:color="FFFFFF"/>
              <w:left w:val="single" w:sz="6" w:space="0" w:color="FFFFFF"/>
              <w:bottom w:val="single" w:sz="6" w:space="0" w:color="FFFFFF"/>
              <w:right w:val="single" w:sz="6" w:space="0" w:color="FFFFFF"/>
            </w:tcBorders>
            <w:shd w:val="clear" w:color="auto" w:fill="E8EDFF"/>
          </w:tcPr>
          <w:p w14:paraId="7483EAF0" w14:textId="77777777" w:rsidR="00FC6C68" w:rsidRDefault="00000000">
            <w:pPr>
              <w:spacing w:before="80" w:after="80"/>
            </w:pPr>
            <w:r>
              <w:rPr>
                <w:rFonts w:ascii="Calibri" w:hAnsi="Calibri"/>
                <w:b/>
                <w:color w:val="0A1A2E"/>
                <w:sz w:val="20"/>
              </w:rPr>
              <w:t>Total Modules</w:t>
            </w:r>
          </w:p>
        </w:tc>
        <w:tc>
          <w:tcPr>
            <w:tcW w:w="4703" w:type="dxa"/>
            <w:tcBorders>
              <w:top w:val="single" w:sz="6" w:space="0" w:color="FFFFFF"/>
              <w:left w:val="single" w:sz="6" w:space="0" w:color="FFFFFF"/>
              <w:bottom w:val="single" w:sz="6" w:space="0" w:color="FFFFFF"/>
              <w:right w:val="single" w:sz="6" w:space="0" w:color="FFFFFF"/>
            </w:tcBorders>
            <w:shd w:val="clear" w:color="auto" w:fill="F8F9FF"/>
          </w:tcPr>
          <w:p w14:paraId="03D8FF50" w14:textId="77777777" w:rsidR="00FC6C68" w:rsidRDefault="00000000">
            <w:pPr>
              <w:spacing w:before="80" w:after="80"/>
            </w:pPr>
            <w:r>
              <w:rPr>
                <w:rFonts w:ascii="Calibri" w:hAnsi="Calibri"/>
                <w:color w:val="1A1A2E"/>
                <w:sz w:val="20"/>
              </w:rPr>
              <w:t>9</w:t>
            </w:r>
          </w:p>
        </w:tc>
      </w:tr>
      <w:tr w:rsidR="00FC6C68" w14:paraId="618A3BE5" w14:textId="77777777">
        <w:tc>
          <w:tcPr>
            <w:tcW w:w="4703" w:type="dxa"/>
            <w:tcBorders>
              <w:top w:val="single" w:sz="6" w:space="0" w:color="FFFFFF"/>
              <w:left w:val="single" w:sz="6" w:space="0" w:color="FFFFFF"/>
              <w:bottom w:val="single" w:sz="6" w:space="0" w:color="FFFFFF"/>
              <w:right w:val="single" w:sz="6" w:space="0" w:color="FFFFFF"/>
            </w:tcBorders>
            <w:shd w:val="clear" w:color="auto" w:fill="E8EDFF"/>
          </w:tcPr>
          <w:p w14:paraId="18AB9D7F" w14:textId="77777777" w:rsidR="00FC6C68" w:rsidRDefault="00000000">
            <w:pPr>
              <w:spacing w:before="80" w:after="80"/>
            </w:pPr>
            <w:r>
              <w:rPr>
                <w:rFonts w:ascii="Calibri" w:hAnsi="Calibri"/>
                <w:b/>
                <w:color w:val="0A1A2E"/>
                <w:sz w:val="20"/>
              </w:rPr>
              <w:t>Total Rooms</w:t>
            </w:r>
          </w:p>
        </w:tc>
        <w:tc>
          <w:tcPr>
            <w:tcW w:w="4703" w:type="dxa"/>
            <w:tcBorders>
              <w:top w:val="single" w:sz="6" w:space="0" w:color="FFFFFF"/>
              <w:left w:val="single" w:sz="6" w:space="0" w:color="FFFFFF"/>
              <w:bottom w:val="single" w:sz="6" w:space="0" w:color="FFFFFF"/>
              <w:right w:val="single" w:sz="6" w:space="0" w:color="FFFFFF"/>
            </w:tcBorders>
            <w:shd w:val="clear" w:color="auto" w:fill="F8F9FF"/>
          </w:tcPr>
          <w:p w14:paraId="0AC5CE5B" w14:textId="77777777" w:rsidR="00FC6C68" w:rsidRDefault="00000000">
            <w:pPr>
              <w:spacing w:before="80" w:after="80"/>
            </w:pPr>
            <w:r>
              <w:rPr>
                <w:rFonts w:ascii="Calibri" w:hAnsi="Calibri"/>
                <w:color w:val="1A1A2E"/>
                <w:sz w:val="20"/>
              </w:rPr>
              <w:t>46</w:t>
            </w:r>
          </w:p>
        </w:tc>
      </w:tr>
      <w:tr w:rsidR="00FC6C68" w14:paraId="75B25BD7" w14:textId="77777777">
        <w:tc>
          <w:tcPr>
            <w:tcW w:w="4703" w:type="dxa"/>
            <w:tcBorders>
              <w:top w:val="single" w:sz="6" w:space="0" w:color="FFFFFF"/>
              <w:left w:val="single" w:sz="6" w:space="0" w:color="FFFFFF"/>
              <w:bottom w:val="single" w:sz="6" w:space="0" w:color="FFFFFF"/>
              <w:right w:val="single" w:sz="6" w:space="0" w:color="FFFFFF"/>
            </w:tcBorders>
            <w:shd w:val="clear" w:color="auto" w:fill="E8EDFF"/>
          </w:tcPr>
          <w:p w14:paraId="0F289AEF" w14:textId="77777777" w:rsidR="00FC6C68" w:rsidRDefault="00000000">
            <w:pPr>
              <w:spacing w:before="80" w:after="80"/>
            </w:pPr>
            <w:r>
              <w:rPr>
                <w:rFonts w:ascii="Calibri" w:hAnsi="Calibri"/>
                <w:b/>
                <w:color w:val="0A1A2E"/>
                <w:sz w:val="20"/>
              </w:rPr>
              <w:t>Version</w:t>
            </w:r>
          </w:p>
        </w:tc>
        <w:tc>
          <w:tcPr>
            <w:tcW w:w="4703" w:type="dxa"/>
            <w:tcBorders>
              <w:top w:val="single" w:sz="6" w:space="0" w:color="FFFFFF"/>
              <w:left w:val="single" w:sz="6" w:space="0" w:color="FFFFFF"/>
              <w:bottom w:val="single" w:sz="6" w:space="0" w:color="FFFFFF"/>
              <w:right w:val="single" w:sz="6" w:space="0" w:color="FFFFFF"/>
            </w:tcBorders>
            <w:shd w:val="clear" w:color="auto" w:fill="F8F9FF"/>
          </w:tcPr>
          <w:p w14:paraId="23CC7507" w14:textId="77777777" w:rsidR="00FC6C68" w:rsidRDefault="00000000">
            <w:pPr>
              <w:spacing w:before="80" w:after="80"/>
            </w:pPr>
            <w:r>
              <w:rPr>
                <w:rFonts w:ascii="Calibri" w:hAnsi="Calibri"/>
                <w:color w:val="1A1A2E"/>
                <w:sz w:val="20"/>
              </w:rPr>
              <w:t>1.0  ·  June 2026</w:t>
            </w:r>
          </w:p>
        </w:tc>
      </w:tr>
    </w:tbl>
    <w:p w14:paraId="567A4030" w14:textId="77777777" w:rsidR="00FC6C68" w:rsidRDefault="00FC6C68"/>
    <w:p w14:paraId="2AFD5FA9" w14:textId="77777777" w:rsidR="00FC6C68" w:rsidRDefault="00000000">
      <w:pPr>
        <w:pBdr>
          <w:bottom w:val="single" w:sz="4" w:space="1" w:color="0066FF"/>
        </w:pBdr>
        <w:spacing w:before="280" w:after="120"/>
      </w:pPr>
      <w:r>
        <w:rPr>
          <w:rFonts w:ascii="Calibri" w:hAnsi="Calibri"/>
          <w:b/>
          <w:color w:val="0066FF"/>
          <w:sz w:val="18"/>
        </w:rPr>
        <w:t>PATH OVERVIEW</w:t>
      </w:r>
    </w:p>
    <w:tbl>
      <w:tblPr>
        <w:tblW w:w="0" w:type="auto"/>
        <w:tblLook w:val="04A0" w:firstRow="1" w:lastRow="0" w:firstColumn="1" w:lastColumn="0" w:noHBand="0" w:noVBand="1"/>
      </w:tblPr>
      <w:tblGrid>
        <w:gridCol w:w="2351"/>
        <w:gridCol w:w="2351"/>
        <w:gridCol w:w="2351"/>
        <w:gridCol w:w="2351"/>
      </w:tblGrid>
      <w:tr w:rsidR="00FC6C68" w14:paraId="4B0BE05D" w14:textId="77777777">
        <w:tc>
          <w:tcPr>
            <w:tcW w:w="2351" w:type="dxa"/>
            <w:tcBorders>
              <w:top w:val="single" w:sz="6" w:space="0" w:color="FFFFFF"/>
              <w:left w:val="single" w:sz="6" w:space="0" w:color="FFFFFF"/>
              <w:bottom w:val="single" w:sz="6" w:space="0" w:color="FFFFFF"/>
              <w:right w:val="single" w:sz="6" w:space="0" w:color="FFFFFF"/>
            </w:tcBorders>
            <w:shd w:val="clear" w:color="auto" w:fill="0A1A2E"/>
          </w:tcPr>
          <w:p w14:paraId="554B914A" w14:textId="77777777" w:rsidR="00FC6C68" w:rsidRDefault="00000000">
            <w:pPr>
              <w:spacing w:before="100" w:after="100"/>
            </w:pPr>
            <w:r>
              <w:rPr>
                <w:rFonts w:ascii="Calibri" w:hAnsi="Calibri"/>
                <w:b/>
                <w:color w:val="FFFFFF"/>
                <w:sz w:val="20"/>
              </w:rPr>
              <w:t>#</w:t>
            </w:r>
          </w:p>
        </w:tc>
        <w:tc>
          <w:tcPr>
            <w:tcW w:w="2351" w:type="dxa"/>
            <w:tcBorders>
              <w:top w:val="single" w:sz="6" w:space="0" w:color="FFFFFF"/>
              <w:left w:val="single" w:sz="6" w:space="0" w:color="FFFFFF"/>
              <w:bottom w:val="single" w:sz="6" w:space="0" w:color="FFFFFF"/>
              <w:right w:val="single" w:sz="6" w:space="0" w:color="FFFFFF"/>
            </w:tcBorders>
            <w:shd w:val="clear" w:color="auto" w:fill="0A1A2E"/>
          </w:tcPr>
          <w:p w14:paraId="4F1194E1" w14:textId="77777777" w:rsidR="00FC6C68" w:rsidRDefault="00000000">
            <w:pPr>
              <w:spacing w:before="100" w:after="100"/>
            </w:pPr>
            <w:r>
              <w:rPr>
                <w:rFonts w:ascii="Calibri" w:hAnsi="Calibri"/>
                <w:b/>
                <w:color w:val="FFFFFF"/>
                <w:sz w:val="20"/>
              </w:rPr>
              <w:t>Module</w:t>
            </w:r>
          </w:p>
        </w:tc>
        <w:tc>
          <w:tcPr>
            <w:tcW w:w="2351" w:type="dxa"/>
            <w:tcBorders>
              <w:top w:val="single" w:sz="6" w:space="0" w:color="FFFFFF"/>
              <w:left w:val="single" w:sz="6" w:space="0" w:color="FFFFFF"/>
              <w:bottom w:val="single" w:sz="6" w:space="0" w:color="FFFFFF"/>
              <w:right w:val="single" w:sz="6" w:space="0" w:color="FFFFFF"/>
            </w:tcBorders>
            <w:shd w:val="clear" w:color="auto" w:fill="0A1A2E"/>
          </w:tcPr>
          <w:p w14:paraId="70896323" w14:textId="77777777" w:rsidR="00FC6C68" w:rsidRDefault="00000000">
            <w:pPr>
              <w:spacing w:before="100" w:after="100"/>
            </w:pPr>
            <w:r>
              <w:rPr>
                <w:rFonts w:ascii="Calibri" w:hAnsi="Calibri"/>
                <w:b/>
                <w:color w:val="FFFFFF"/>
                <w:sz w:val="20"/>
              </w:rPr>
              <w:t>Rooms</w:t>
            </w:r>
          </w:p>
        </w:tc>
        <w:tc>
          <w:tcPr>
            <w:tcW w:w="2351" w:type="dxa"/>
            <w:tcBorders>
              <w:top w:val="single" w:sz="6" w:space="0" w:color="FFFFFF"/>
              <w:left w:val="single" w:sz="6" w:space="0" w:color="FFFFFF"/>
              <w:bottom w:val="single" w:sz="6" w:space="0" w:color="FFFFFF"/>
              <w:right w:val="single" w:sz="6" w:space="0" w:color="FFFFFF"/>
            </w:tcBorders>
            <w:shd w:val="clear" w:color="auto" w:fill="0A1A2E"/>
          </w:tcPr>
          <w:p w14:paraId="61AD2907" w14:textId="77777777" w:rsidR="00FC6C68" w:rsidRDefault="00000000">
            <w:pPr>
              <w:spacing w:before="100" w:after="100"/>
            </w:pPr>
            <w:r>
              <w:rPr>
                <w:rFonts w:ascii="Calibri" w:hAnsi="Calibri"/>
                <w:b/>
                <w:color w:val="FFFFFF"/>
                <w:sz w:val="20"/>
              </w:rPr>
              <w:t>Focus</w:t>
            </w:r>
          </w:p>
        </w:tc>
      </w:tr>
      <w:tr w:rsidR="00FC6C68" w14:paraId="4F186489" w14:textId="77777777">
        <w:tc>
          <w:tcPr>
            <w:tcW w:w="2351" w:type="dxa"/>
            <w:tcBorders>
              <w:top w:val="single" w:sz="6" w:space="0" w:color="FFFFFF"/>
              <w:left w:val="single" w:sz="6" w:space="0" w:color="FFFFFF"/>
              <w:bottom w:val="single" w:sz="6" w:space="0" w:color="FFFFFF"/>
              <w:right w:val="single" w:sz="6" w:space="0" w:color="FFFFFF"/>
            </w:tcBorders>
            <w:shd w:val="clear" w:color="auto" w:fill="E8EDFF"/>
          </w:tcPr>
          <w:p w14:paraId="21AB1C10" w14:textId="77777777" w:rsidR="00FC6C68" w:rsidRDefault="00000000">
            <w:pPr>
              <w:spacing w:before="100" w:after="100"/>
            </w:pPr>
            <w:r>
              <w:rPr>
                <w:rFonts w:ascii="Calibri" w:hAnsi="Calibri"/>
                <w:color w:val="1A1A2E"/>
                <w:sz w:val="20"/>
              </w:rPr>
              <w:t>1</w:t>
            </w:r>
          </w:p>
        </w:tc>
        <w:tc>
          <w:tcPr>
            <w:tcW w:w="2351" w:type="dxa"/>
            <w:tcBorders>
              <w:top w:val="single" w:sz="6" w:space="0" w:color="FFFFFF"/>
              <w:left w:val="single" w:sz="6" w:space="0" w:color="FFFFFF"/>
              <w:bottom w:val="single" w:sz="6" w:space="0" w:color="FFFFFF"/>
              <w:right w:val="single" w:sz="6" w:space="0" w:color="FFFFFF"/>
            </w:tcBorders>
            <w:shd w:val="clear" w:color="auto" w:fill="E8EDFF"/>
          </w:tcPr>
          <w:p w14:paraId="3C606835" w14:textId="77777777" w:rsidR="00FC6C68" w:rsidRDefault="00000000">
            <w:pPr>
              <w:spacing w:before="100" w:after="100"/>
            </w:pPr>
            <w:r>
              <w:rPr>
                <w:rFonts w:ascii="Calibri" w:hAnsi="Calibri"/>
                <w:color w:val="1A1A2E"/>
                <w:sz w:val="20"/>
              </w:rPr>
              <w:t>Penetration Testing Fundamentals</w:t>
            </w:r>
          </w:p>
        </w:tc>
        <w:tc>
          <w:tcPr>
            <w:tcW w:w="2351" w:type="dxa"/>
            <w:tcBorders>
              <w:top w:val="single" w:sz="6" w:space="0" w:color="FFFFFF"/>
              <w:left w:val="single" w:sz="6" w:space="0" w:color="FFFFFF"/>
              <w:bottom w:val="single" w:sz="6" w:space="0" w:color="FFFFFF"/>
              <w:right w:val="single" w:sz="6" w:space="0" w:color="FFFFFF"/>
            </w:tcBorders>
            <w:shd w:val="clear" w:color="auto" w:fill="E8EDFF"/>
          </w:tcPr>
          <w:p w14:paraId="598A7D4A" w14:textId="77777777" w:rsidR="00FC6C68" w:rsidRDefault="00000000">
            <w:pPr>
              <w:spacing w:before="100" w:after="100"/>
            </w:pPr>
            <w:r>
              <w:rPr>
                <w:rFonts w:ascii="Calibri" w:hAnsi="Calibri"/>
                <w:color w:val="1A1A2E"/>
                <w:sz w:val="20"/>
              </w:rPr>
              <w:t>5 rooms</w:t>
            </w:r>
          </w:p>
        </w:tc>
        <w:tc>
          <w:tcPr>
            <w:tcW w:w="2351" w:type="dxa"/>
            <w:tcBorders>
              <w:top w:val="single" w:sz="6" w:space="0" w:color="FFFFFF"/>
              <w:left w:val="single" w:sz="6" w:space="0" w:color="FFFFFF"/>
              <w:bottom w:val="single" w:sz="6" w:space="0" w:color="FFFFFF"/>
              <w:right w:val="single" w:sz="6" w:space="0" w:color="FFFFFF"/>
            </w:tcBorders>
            <w:shd w:val="clear" w:color="auto" w:fill="E8EDFF"/>
          </w:tcPr>
          <w:p w14:paraId="30F55707" w14:textId="77777777" w:rsidR="00FC6C68" w:rsidRDefault="00000000">
            <w:pPr>
              <w:spacing w:before="100" w:after="100"/>
            </w:pPr>
            <w:r>
              <w:rPr>
                <w:rFonts w:ascii="Calibri" w:hAnsi="Calibri"/>
                <w:color w:val="1A1A2E"/>
                <w:sz w:val="20"/>
              </w:rPr>
              <w:t>Ethics, law, methodology, scoping</w:t>
            </w:r>
          </w:p>
        </w:tc>
      </w:tr>
      <w:tr w:rsidR="00FC6C68" w14:paraId="06E115C1" w14:textId="77777777">
        <w:tc>
          <w:tcPr>
            <w:tcW w:w="2351" w:type="dxa"/>
            <w:tcBorders>
              <w:top w:val="single" w:sz="6" w:space="0" w:color="FFFFFF"/>
              <w:left w:val="single" w:sz="6" w:space="0" w:color="FFFFFF"/>
              <w:bottom w:val="single" w:sz="6" w:space="0" w:color="FFFFFF"/>
              <w:right w:val="single" w:sz="6" w:space="0" w:color="FFFFFF"/>
            </w:tcBorders>
            <w:shd w:val="clear" w:color="auto" w:fill="F8F9FF"/>
          </w:tcPr>
          <w:p w14:paraId="75D5B010" w14:textId="77777777" w:rsidR="00FC6C68" w:rsidRDefault="00000000">
            <w:pPr>
              <w:spacing w:before="100" w:after="100"/>
            </w:pPr>
            <w:r>
              <w:rPr>
                <w:rFonts w:ascii="Calibri" w:hAnsi="Calibri"/>
                <w:color w:val="1A1A2E"/>
                <w:sz w:val="20"/>
              </w:rPr>
              <w:t>2</w:t>
            </w:r>
          </w:p>
        </w:tc>
        <w:tc>
          <w:tcPr>
            <w:tcW w:w="2351" w:type="dxa"/>
            <w:tcBorders>
              <w:top w:val="single" w:sz="6" w:space="0" w:color="FFFFFF"/>
              <w:left w:val="single" w:sz="6" w:space="0" w:color="FFFFFF"/>
              <w:bottom w:val="single" w:sz="6" w:space="0" w:color="FFFFFF"/>
              <w:right w:val="single" w:sz="6" w:space="0" w:color="FFFFFF"/>
            </w:tcBorders>
            <w:shd w:val="clear" w:color="auto" w:fill="F8F9FF"/>
          </w:tcPr>
          <w:p w14:paraId="21D03CEA" w14:textId="77777777" w:rsidR="00FC6C68" w:rsidRDefault="00000000">
            <w:pPr>
              <w:spacing w:before="100" w:after="100"/>
            </w:pPr>
            <w:r>
              <w:rPr>
                <w:rFonts w:ascii="Calibri" w:hAnsi="Calibri"/>
                <w:color w:val="1A1A2E"/>
                <w:sz w:val="20"/>
              </w:rPr>
              <w:t>Reconnaissance &amp; OSINT</w:t>
            </w:r>
          </w:p>
        </w:tc>
        <w:tc>
          <w:tcPr>
            <w:tcW w:w="2351" w:type="dxa"/>
            <w:tcBorders>
              <w:top w:val="single" w:sz="6" w:space="0" w:color="FFFFFF"/>
              <w:left w:val="single" w:sz="6" w:space="0" w:color="FFFFFF"/>
              <w:bottom w:val="single" w:sz="6" w:space="0" w:color="FFFFFF"/>
              <w:right w:val="single" w:sz="6" w:space="0" w:color="FFFFFF"/>
            </w:tcBorders>
            <w:shd w:val="clear" w:color="auto" w:fill="F8F9FF"/>
          </w:tcPr>
          <w:p w14:paraId="4CBDB473" w14:textId="77777777" w:rsidR="00FC6C68" w:rsidRDefault="00000000">
            <w:pPr>
              <w:spacing w:before="100" w:after="100"/>
            </w:pPr>
            <w:r>
              <w:rPr>
                <w:rFonts w:ascii="Calibri" w:hAnsi="Calibri"/>
                <w:color w:val="1A1A2E"/>
                <w:sz w:val="20"/>
              </w:rPr>
              <w:t>5 rooms</w:t>
            </w:r>
          </w:p>
        </w:tc>
        <w:tc>
          <w:tcPr>
            <w:tcW w:w="2351" w:type="dxa"/>
            <w:tcBorders>
              <w:top w:val="single" w:sz="6" w:space="0" w:color="FFFFFF"/>
              <w:left w:val="single" w:sz="6" w:space="0" w:color="FFFFFF"/>
              <w:bottom w:val="single" w:sz="6" w:space="0" w:color="FFFFFF"/>
              <w:right w:val="single" w:sz="6" w:space="0" w:color="FFFFFF"/>
            </w:tcBorders>
            <w:shd w:val="clear" w:color="auto" w:fill="F8F9FF"/>
          </w:tcPr>
          <w:p w14:paraId="24C078A5" w14:textId="77777777" w:rsidR="00FC6C68" w:rsidRDefault="00000000">
            <w:pPr>
              <w:spacing w:before="100" w:after="100"/>
            </w:pPr>
            <w:r>
              <w:rPr>
                <w:rFonts w:ascii="Calibri" w:hAnsi="Calibri"/>
                <w:color w:val="1A1A2E"/>
                <w:sz w:val="20"/>
              </w:rPr>
              <w:t>Passive intelligence gathering</w:t>
            </w:r>
          </w:p>
        </w:tc>
      </w:tr>
      <w:tr w:rsidR="00FC6C68" w14:paraId="7C7786AA" w14:textId="77777777">
        <w:tc>
          <w:tcPr>
            <w:tcW w:w="2351" w:type="dxa"/>
            <w:tcBorders>
              <w:top w:val="single" w:sz="6" w:space="0" w:color="FFFFFF"/>
              <w:left w:val="single" w:sz="6" w:space="0" w:color="FFFFFF"/>
              <w:bottom w:val="single" w:sz="6" w:space="0" w:color="FFFFFF"/>
              <w:right w:val="single" w:sz="6" w:space="0" w:color="FFFFFF"/>
            </w:tcBorders>
            <w:shd w:val="clear" w:color="auto" w:fill="E8EDFF"/>
          </w:tcPr>
          <w:p w14:paraId="040C4F5B" w14:textId="77777777" w:rsidR="00FC6C68" w:rsidRDefault="00000000">
            <w:pPr>
              <w:spacing w:before="100" w:after="100"/>
            </w:pPr>
            <w:r>
              <w:rPr>
                <w:rFonts w:ascii="Calibri" w:hAnsi="Calibri"/>
                <w:color w:val="1A1A2E"/>
                <w:sz w:val="20"/>
              </w:rPr>
              <w:t>3</w:t>
            </w:r>
          </w:p>
        </w:tc>
        <w:tc>
          <w:tcPr>
            <w:tcW w:w="2351" w:type="dxa"/>
            <w:tcBorders>
              <w:top w:val="single" w:sz="6" w:space="0" w:color="FFFFFF"/>
              <w:left w:val="single" w:sz="6" w:space="0" w:color="FFFFFF"/>
              <w:bottom w:val="single" w:sz="6" w:space="0" w:color="FFFFFF"/>
              <w:right w:val="single" w:sz="6" w:space="0" w:color="FFFFFF"/>
            </w:tcBorders>
            <w:shd w:val="clear" w:color="auto" w:fill="E8EDFF"/>
          </w:tcPr>
          <w:p w14:paraId="674CF90C" w14:textId="77777777" w:rsidR="00FC6C68" w:rsidRDefault="00000000">
            <w:pPr>
              <w:spacing w:before="100" w:after="100"/>
            </w:pPr>
            <w:r>
              <w:rPr>
                <w:rFonts w:ascii="Calibri" w:hAnsi="Calibri"/>
                <w:color w:val="1A1A2E"/>
                <w:sz w:val="20"/>
              </w:rPr>
              <w:t>Scanning &amp; Enumeration</w:t>
            </w:r>
          </w:p>
        </w:tc>
        <w:tc>
          <w:tcPr>
            <w:tcW w:w="2351" w:type="dxa"/>
            <w:tcBorders>
              <w:top w:val="single" w:sz="6" w:space="0" w:color="FFFFFF"/>
              <w:left w:val="single" w:sz="6" w:space="0" w:color="FFFFFF"/>
              <w:bottom w:val="single" w:sz="6" w:space="0" w:color="FFFFFF"/>
              <w:right w:val="single" w:sz="6" w:space="0" w:color="FFFFFF"/>
            </w:tcBorders>
            <w:shd w:val="clear" w:color="auto" w:fill="E8EDFF"/>
          </w:tcPr>
          <w:p w14:paraId="0EFB3AE5" w14:textId="77777777" w:rsidR="00FC6C68" w:rsidRDefault="00000000">
            <w:pPr>
              <w:spacing w:before="100" w:after="100"/>
            </w:pPr>
            <w:r>
              <w:rPr>
                <w:rFonts w:ascii="Calibri" w:hAnsi="Calibri"/>
                <w:color w:val="1A1A2E"/>
                <w:sz w:val="20"/>
              </w:rPr>
              <w:t>5 rooms</w:t>
            </w:r>
          </w:p>
        </w:tc>
        <w:tc>
          <w:tcPr>
            <w:tcW w:w="2351" w:type="dxa"/>
            <w:tcBorders>
              <w:top w:val="single" w:sz="6" w:space="0" w:color="FFFFFF"/>
              <w:left w:val="single" w:sz="6" w:space="0" w:color="FFFFFF"/>
              <w:bottom w:val="single" w:sz="6" w:space="0" w:color="FFFFFF"/>
              <w:right w:val="single" w:sz="6" w:space="0" w:color="FFFFFF"/>
            </w:tcBorders>
            <w:shd w:val="clear" w:color="auto" w:fill="E8EDFF"/>
          </w:tcPr>
          <w:p w14:paraId="570F2E7E" w14:textId="77777777" w:rsidR="00FC6C68" w:rsidRDefault="00000000">
            <w:pPr>
              <w:spacing w:before="100" w:after="100"/>
            </w:pPr>
            <w:r>
              <w:rPr>
                <w:rFonts w:ascii="Calibri" w:hAnsi="Calibri"/>
                <w:color w:val="1A1A2E"/>
                <w:sz w:val="20"/>
              </w:rPr>
              <w:t>Active target mapping</w:t>
            </w:r>
          </w:p>
        </w:tc>
      </w:tr>
      <w:tr w:rsidR="00FC6C68" w14:paraId="60A13043" w14:textId="77777777">
        <w:tc>
          <w:tcPr>
            <w:tcW w:w="2351" w:type="dxa"/>
            <w:tcBorders>
              <w:top w:val="single" w:sz="6" w:space="0" w:color="FFFFFF"/>
              <w:left w:val="single" w:sz="6" w:space="0" w:color="FFFFFF"/>
              <w:bottom w:val="single" w:sz="6" w:space="0" w:color="FFFFFF"/>
              <w:right w:val="single" w:sz="6" w:space="0" w:color="FFFFFF"/>
            </w:tcBorders>
            <w:shd w:val="clear" w:color="auto" w:fill="F8F9FF"/>
          </w:tcPr>
          <w:p w14:paraId="1076215F" w14:textId="77777777" w:rsidR="00FC6C68" w:rsidRDefault="00000000">
            <w:pPr>
              <w:spacing w:before="100" w:after="100"/>
            </w:pPr>
            <w:r>
              <w:rPr>
                <w:rFonts w:ascii="Calibri" w:hAnsi="Calibri"/>
                <w:color w:val="1A1A2E"/>
                <w:sz w:val="20"/>
              </w:rPr>
              <w:t>4</w:t>
            </w:r>
          </w:p>
        </w:tc>
        <w:tc>
          <w:tcPr>
            <w:tcW w:w="2351" w:type="dxa"/>
            <w:tcBorders>
              <w:top w:val="single" w:sz="6" w:space="0" w:color="FFFFFF"/>
              <w:left w:val="single" w:sz="6" w:space="0" w:color="FFFFFF"/>
              <w:bottom w:val="single" w:sz="6" w:space="0" w:color="FFFFFF"/>
              <w:right w:val="single" w:sz="6" w:space="0" w:color="FFFFFF"/>
            </w:tcBorders>
            <w:shd w:val="clear" w:color="auto" w:fill="F8F9FF"/>
          </w:tcPr>
          <w:p w14:paraId="1EEAE57F" w14:textId="77777777" w:rsidR="00FC6C68" w:rsidRDefault="00000000">
            <w:pPr>
              <w:spacing w:before="100" w:after="100"/>
            </w:pPr>
            <w:r>
              <w:rPr>
                <w:rFonts w:ascii="Calibri" w:hAnsi="Calibri"/>
                <w:color w:val="1A1A2E"/>
                <w:sz w:val="20"/>
              </w:rPr>
              <w:t>Web Application Penetration Testing</w:t>
            </w:r>
          </w:p>
        </w:tc>
        <w:tc>
          <w:tcPr>
            <w:tcW w:w="2351" w:type="dxa"/>
            <w:tcBorders>
              <w:top w:val="single" w:sz="6" w:space="0" w:color="FFFFFF"/>
              <w:left w:val="single" w:sz="6" w:space="0" w:color="FFFFFF"/>
              <w:bottom w:val="single" w:sz="6" w:space="0" w:color="FFFFFF"/>
              <w:right w:val="single" w:sz="6" w:space="0" w:color="FFFFFF"/>
            </w:tcBorders>
            <w:shd w:val="clear" w:color="auto" w:fill="F8F9FF"/>
          </w:tcPr>
          <w:p w14:paraId="34730484" w14:textId="77777777" w:rsidR="00FC6C68" w:rsidRDefault="00000000">
            <w:pPr>
              <w:spacing w:before="100" w:after="100"/>
            </w:pPr>
            <w:r>
              <w:rPr>
                <w:rFonts w:ascii="Calibri" w:hAnsi="Calibri"/>
                <w:color w:val="1A1A2E"/>
                <w:sz w:val="20"/>
              </w:rPr>
              <w:t>8 rooms</w:t>
            </w:r>
          </w:p>
        </w:tc>
        <w:tc>
          <w:tcPr>
            <w:tcW w:w="2351" w:type="dxa"/>
            <w:tcBorders>
              <w:top w:val="single" w:sz="6" w:space="0" w:color="FFFFFF"/>
              <w:left w:val="single" w:sz="6" w:space="0" w:color="FFFFFF"/>
              <w:bottom w:val="single" w:sz="6" w:space="0" w:color="FFFFFF"/>
              <w:right w:val="single" w:sz="6" w:space="0" w:color="FFFFFF"/>
            </w:tcBorders>
            <w:shd w:val="clear" w:color="auto" w:fill="F8F9FF"/>
          </w:tcPr>
          <w:p w14:paraId="3B810B74" w14:textId="77777777" w:rsidR="00FC6C68" w:rsidRDefault="00000000">
            <w:pPr>
              <w:spacing w:before="100" w:after="100"/>
            </w:pPr>
            <w:r>
              <w:rPr>
                <w:rFonts w:ascii="Calibri" w:hAnsi="Calibri"/>
                <w:color w:val="1A1A2E"/>
                <w:sz w:val="20"/>
              </w:rPr>
              <w:t>OWASP Top 10 attack categories</w:t>
            </w:r>
          </w:p>
        </w:tc>
      </w:tr>
      <w:tr w:rsidR="00FC6C68" w14:paraId="1A6A83C2" w14:textId="77777777">
        <w:tc>
          <w:tcPr>
            <w:tcW w:w="2351" w:type="dxa"/>
            <w:tcBorders>
              <w:top w:val="single" w:sz="6" w:space="0" w:color="FFFFFF"/>
              <w:left w:val="single" w:sz="6" w:space="0" w:color="FFFFFF"/>
              <w:bottom w:val="single" w:sz="6" w:space="0" w:color="FFFFFF"/>
              <w:right w:val="single" w:sz="6" w:space="0" w:color="FFFFFF"/>
            </w:tcBorders>
            <w:shd w:val="clear" w:color="auto" w:fill="E8EDFF"/>
          </w:tcPr>
          <w:p w14:paraId="22C5735A" w14:textId="77777777" w:rsidR="00FC6C68" w:rsidRDefault="00000000">
            <w:pPr>
              <w:spacing w:before="100" w:after="100"/>
            </w:pPr>
            <w:r>
              <w:rPr>
                <w:rFonts w:ascii="Calibri" w:hAnsi="Calibri"/>
                <w:color w:val="1A1A2E"/>
                <w:sz w:val="20"/>
              </w:rPr>
              <w:t>5</w:t>
            </w:r>
          </w:p>
        </w:tc>
        <w:tc>
          <w:tcPr>
            <w:tcW w:w="2351" w:type="dxa"/>
            <w:tcBorders>
              <w:top w:val="single" w:sz="6" w:space="0" w:color="FFFFFF"/>
              <w:left w:val="single" w:sz="6" w:space="0" w:color="FFFFFF"/>
              <w:bottom w:val="single" w:sz="6" w:space="0" w:color="FFFFFF"/>
              <w:right w:val="single" w:sz="6" w:space="0" w:color="FFFFFF"/>
            </w:tcBorders>
            <w:shd w:val="clear" w:color="auto" w:fill="E8EDFF"/>
          </w:tcPr>
          <w:p w14:paraId="0BE70496" w14:textId="77777777" w:rsidR="00FC6C68" w:rsidRDefault="00000000">
            <w:pPr>
              <w:spacing w:before="100" w:after="100"/>
            </w:pPr>
            <w:r>
              <w:rPr>
                <w:rFonts w:ascii="Calibri" w:hAnsi="Calibri"/>
                <w:color w:val="1A1A2E"/>
                <w:sz w:val="20"/>
              </w:rPr>
              <w:t>Network Attacks &amp; Exploitation</w:t>
            </w:r>
          </w:p>
        </w:tc>
        <w:tc>
          <w:tcPr>
            <w:tcW w:w="2351" w:type="dxa"/>
            <w:tcBorders>
              <w:top w:val="single" w:sz="6" w:space="0" w:color="FFFFFF"/>
              <w:left w:val="single" w:sz="6" w:space="0" w:color="FFFFFF"/>
              <w:bottom w:val="single" w:sz="6" w:space="0" w:color="FFFFFF"/>
              <w:right w:val="single" w:sz="6" w:space="0" w:color="FFFFFF"/>
            </w:tcBorders>
            <w:shd w:val="clear" w:color="auto" w:fill="E8EDFF"/>
          </w:tcPr>
          <w:p w14:paraId="38A7AD82" w14:textId="77777777" w:rsidR="00FC6C68" w:rsidRDefault="00000000">
            <w:pPr>
              <w:spacing w:before="100" w:after="100"/>
            </w:pPr>
            <w:r>
              <w:rPr>
                <w:rFonts w:ascii="Calibri" w:hAnsi="Calibri"/>
                <w:color w:val="1A1A2E"/>
                <w:sz w:val="20"/>
              </w:rPr>
              <w:t>6 rooms</w:t>
            </w:r>
          </w:p>
        </w:tc>
        <w:tc>
          <w:tcPr>
            <w:tcW w:w="2351" w:type="dxa"/>
            <w:tcBorders>
              <w:top w:val="single" w:sz="6" w:space="0" w:color="FFFFFF"/>
              <w:left w:val="single" w:sz="6" w:space="0" w:color="FFFFFF"/>
              <w:bottom w:val="single" w:sz="6" w:space="0" w:color="FFFFFF"/>
              <w:right w:val="single" w:sz="6" w:space="0" w:color="FFFFFF"/>
            </w:tcBorders>
            <w:shd w:val="clear" w:color="auto" w:fill="E8EDFF"/>
          </w:tcPr>
          <w:p w14:paraId="13B824DA" w14:textId="77777777" w:rsidR="00FC6C68" w:rsidRDefault="00000000">
            <w:pPr>
              <w:spacing w:before="100" w:after="100"/>
            </w:pPr>
            <w:r>
              <w:rPr>
                <w:rFonts w:ascii="Calibri" w:hAnsi="Calibri"/>
                <w:color w:val="1A1A2E"/>
                <w:sz w:val="20"/>
              </w:rPr>
              <w:t>Protocol-level network attacks</w:t>
            </w:r>
          </w:p>
        </w:tc>
      </w:tr>
      <w:tr w:rsidR="00FC6C68" w14:paraId="198C7D35" w14:textId="77777777">
        <w:tc>
          <w:tcPr>
            <w:tcW w:w="2351" w:type="dxa"/>
            <w:tcBorders>
              <w:top w:val="single" w:sz="6" w:space="0" w:color="FFFFFF"/>
              <w:left w:val="single" w:sz="6" w:space="0" w:color="FFFFFF"/>
              <w:bottom w:val="single" w:sz="6" w:space="0" w:color="FFFFFF"/>
              <w:right w:val="single" w:sz="6" w:space="0" w:color="FFFFFF"/>
            </w:tcBorders>
            <w:shd w:val="clear" w:color="auto" w:fill="F8F9FF"/>
          </w:tcPr>
          <w:p w14:paraId="034D64AD" w14:textId="77777777" w:rsidR="00FC6C68" w:rsidRDefault="00000000">
            <w:pPr>
              <w:spacing w:before="100" w:after="100"/>
            </w:pPr>
            <w:r>
              <w:rPr>
                <w:rFonts w:ascii="Calibri" w:hAnsi="Calibri"/>
                <w:color w:val="1A1A2E"/>
                <w:sz w:val="20"/>
              </w:rPr>
              <w:t>6</w:t>
            </w:r>
          </w:p>
        </w:tc>
        <w:tc>
          <w:tcPr>
            <w:tcW w:w="2351" w:type="dxa"/>
            <w:tcBorders>
              <w:top w:val="single" w:sz="6" w:space="0" w:color="FFFFFF"/>
              <w:left w:val="single" w:sz="6" w:space="0" w:color="FFFFFF"/>
              <w:bottom w:val="single" w:sz="6" w:space="0" w:color="FFFFFF"/>
              <w:right w:val="single" w:sz="6" w:space="0" w:color="FFFFFF"/>
            </w:tcBorders>
            <w:shd w:val="clear" w:color="auto" w:fill="F8F9FF"/>
          </w:tcPr>
          <w:p w14:paraId="4B1BE0FE" w14:textId="77777777" w:rsidR="00FC6C68" w:rsidRDefault="00000000">
            <w:pPr>
              <w:spacing w:before="100" w:after="100"/>
            </w:pPr>
            <w:r>
              <w:rPr>
                <w:rFonts w:ascii="Calibri" w:hAnsi="Calibri"/>
                <w:color w:val="1A1A2E"/>
                <w:sz w:val="20"/>
              </w:rPr>
              <w:t>Password Attacks</w:t>
            </w:r>
          </w:p>
        </w:tc>
        <w:tc>
          <w:tcPr>
            <w:tcW w:w="2351" w:type="dxa"/>
            <w:tcBorders>
              <w:top w:val="single" w:sz="6" w:space="0" w:color="FFFFFF"/>
              <w:left w:val="single" w:sz="6" w:space="0" w:color="FFFFFF"/>
              <w:bottom w:val="single" w:sz="6" w:space="0" w:color="FFFFFF"/>
              <w:right w:val="single" w:sz="6" w:space="0" w:color="FFFFFF"/>
            </w:tcBorders>
            <w:shd w:val="clear" w:color="auto" w:fill="F8F9FF"/>
          </w:tcPr>
          <w:p w14:paraId="07934732" w14:textId="77777777" w:rsidR="00FC6C68" w:rsidRDefault="00000000">
            <w:pPr>
              <w:spacing w:before="100" w:after="100"/>
            </w:pPr>
            <w:r>
              <w:rPr>
                <w:rFonts w:ascii="Calibri" w:hAnsi="Calibri"/>
                <w:color w:val="1A1A2E"/>
                <w:sz w:val="20"/>
              </w:rPr>
              <w:t>5 rooms</w:t>
            </w:r>
          </w:p>
        </w:tc>
        <w:tc>
          <w:tcPr>
            <w:tcW w:w="2351" w:type="dxa"/>
            <w:tcBorders>
              <w:top w:val="single" w:sz="6" w:space="0" w:color="FFFFFF"/>
              <w:left w:val="single" w:sz="6" w:space="0" w:color="FFFFFF"/>
              <w:bottom w:val="single" w:sz="6" w:space="0" w:color="FFFFFF"/>
              <w:right w:val="single" w:sz="6" w:space="0" w:color="FFFFFF"/>
            </w:tcBorders>
            <w:shd w:val="clear" w:color="auto" w:fill="F8F9FF"/>
          </w:tcPr>
          <w:p w14:paraId="381F0841" w14:textId="77777777" w:rsidR="00FC6C68" w:rsidRDefault="00000000">
            <w:pPr>
              <w:spacing w:before="100" w:after="100"/>
            </w:pPr>
            <w:r>
              <w:rPr>
                <w:rFonts w:ascii="Calibri" w:hAnsi="Calibri"/>
                <w:color w:val="1A1A2E"/>
                <w:sz w:val="20"/>
              </w:rPr>
              <w:t>Credential-based attacks</w:t>
            </w:r>
          </w:p>
        </w:tc>
      </w:tr>
      <w:tr w:rsidR="00FC6C68" w14:paraId="4AE34C34" w14:textId="77777777">
        <w:tc>
          <w:tcPr>
            <w:tcW w:w="2351" w:type="dxa"/>
            <w:tcBorders>
              <w:top w:val="single" w:sz="6" w:space="0" w:color="FFFFFF"/>
              <w:left w:val="single" w:sz="6" w:space="0" w:color="FFFFFF"/>
              <w:bottom w:val="single" w:sz="6" w:space="0" w:color="FFFFFF"/>
              <w:right w:val="single" w:sz="6" w:space="0" w:color="FFFFFF"/>
            </w:tcBorders>
            <w:shd w:val="clear" w:color="auto" w:fill="E8EDFF"/>
          </w:tcPr>
          <w:p w14:paraId="3DAC1AB1" w14:textId="77777777" w:rsidR="00FC6C68" w:rsidRDefault="00000000">
            <w:pPr>
              <w:spacing w:before="100" w:after="100"/>
            </w:pPr>
            <w:r>
              <w:rPr>
                <w:rFonts w:ascii="Calibri" w:hAnsi="Calibri"/>
                <w:color w:val="1A1A2E"/>
                <w:sz w:val="20"/>
              </w:rPr>
              <w:t>7</w:t>
            </w:r>
          </w:p>
        </w:tc>
        <w:tc>
          <w:tcPr>
            <w:tcW w:w="2351" w:type="dxa"/>
            <w:tcBorders>
              <w:top w:val="single" w:sz="6" w:space="0" w:color="FFFFFF"/>
              <w:left w:val="single" w:sz="6" w:space="0" w:color="FFFFFF"/>
              <w:bottom w:val="single" w:sz="6" w:space="0" w:color="FFFFFF"/>
              <w:right w:val="single" w:sz="6" w:space="0" w:color="FFFFFF"/>
            </w:tcBorders>
            <w:shd w:val="clear" w:color="auto" w:fill="E8EDFF"/>
          </w:tcPr>
          <w:p w14:paraId="0E88DA3C" w14:textId="77777777" w:rsidR="00FC6C68" w:rsidRDefault="00000000">
            <w:pPr>
              <w:spacing w:before="100" w:after="100"/>
            </w:pPr>
            <w:r>
              <w:rPr>
                <w:rFonts w:ascii="Calibri" w:hAnsi="Calibri"/>
                <w:color w:val="1A1A2E"/>
                <w:sz w:val="20"/>
              </w:rPr>
              <w:t>Exploitation Fundamentals</w:t>
            </w:r>
          </w:p>
        </w:tc>
        <w:tc>
          <w:tcPr>
            <w:tcW w:w="2351" w:type="dxa"/>
            <w:tcBorders>
              <w:top w:val="single" w:sz="6" w:space="0" w:color="FFFFFF"/>
              <w:left w:val="single" w:sz="6" w:space="0" w:color="FFFFFF"/>
              <w:bottom w:val="single" w:sz="6" w:space="0" w:color="FFFFFF"/>
              <w:right w:val="single" w:sz="6" w:space="0" w:color="FFFFFF"/>
            </w:tcBorders>
            <w:shd w:val="clear" w:color="auto" w:fill="E8EDFF"/>
          </w:tcPr>
          <w:p w14:paraId="3328F2C9" w14:textId="77777777" w:rsidR="00FC6C68" w:rsidRDefault="00000000">
            <w:pPr>
              <w:spacing w:before="100" w:after="100"/>
            </w:pPr>
            <w:r>
              <w:rPr>
                <w:rFonts w:ascii="Calibri" w:hAnsi="Calibri"/>
                <w:color w:val="1A1A2E"/>
                <w:sz w:val="20"/>
              </w:rPr>
              <w:t>5 rooms</w:t>
            </w:r>
          </w:p>
        </w:tc>
        <w:tc>
          <w:tcPr>
            <w:tcW w:w="2351" w:type="dxa"/>
            <w:tcBorders>
              <w:top w:val="single" w:sz="6" w:space="0" w:color="FFFFFF"/>
              <w:left w:val="single" w:sz="6" w:space="0" w:color="FFFFFF"/>
              <w:bottom w:val="single" w:sz="6" w:space="0" w:color="FFFFFF"/>
              <w:right w:val="single" w:sz="6" w:space="0" w:color="FFFFFF"/>
            </w:tcBorders>
            <w:shd w:val="clear" w:color="auto" w:fill="E8EDFF"/>
          </w:tcPr>
          <w:p w14:paraId="44F6CB55" w14:textId="77777777" w:rsidR="00FC6C68" w:rsidRDefault="00000000">
            <w:pPr>
              <w:spacing w:before="100" w:after="100"/>
            </w:pPr>
            <w:r>
              <w:rPr>
                <w:rFonts w:ascii="Calibri" w:hAnsi="Calibri"/>
                <w:color w:val="1A1A2E"/>
                <w:sz w:val="20"/>
              </w:rPr>
              <w:t>Gaining access</w:t>
            </w:r>
          </w:p>
        </w:tc>
      </w:tr>
      <w:tr w:rsidR="00FC6C68" w14:paraId="351A3F3B" w14:textId="77777777">
        <w:tc>
          <w:tcPr>
            <w:tcW w:w="2351" w:type="dxa"/>
            <w:tcBorders>
              <w:top w:val="single" w:sz="6" w:space="0" w:color="FFFFFF"/>
              <w:left w:val="single" w:sz="6" w:space="0" w:color="FFFFFF"/>
              <w:bottom w:val="single" w:sz="6" w:space="0" w:color="FFFFFF"/>
              <w:right w:val="single" w:sz="6" w:space="0" w:color="FFFFFF"/>
            </w:tcBorders>
            <w:shd w:val="clear" w:color="auto" w:fill="F8F9FF"/>
          </w:tcPr>
          <w:p w14:paraId="0CEF35F2" w14:textId="77777777" w:rsidR="00FC6C68" w:rsidRDefault="00000000">
            <w:pPr>
              <w:spacing w:before="100" w:after="100"/>
            </w:pPr>
            <w:r>
              <w:rPr>
                <w:rFonts w:ascii="Calibri" w:hAnsi="Calibri"/>
                <w:color w:val="1A1A2E"/>
                <w:sz w:val="20"/>
              </w:rPr>
              <w:lastRenderedPageBreak/>
              <w:t>8</w:t>
            </w:r>
          </w:p>
        </w:tc>
        <w:tc>
          <w:tcPr>
            <w:tcW w:w="2351" w:type="dxa"/>
            <w:tcBorders>
              <w:top w:val="single" w:sz="6" w:space="0" w:color="FFFFFF"/>
              <w:left w:val="single" w:sz="6" w:space="0" w:color="FFFFFF"/>
              <w:bottom w:val="single" w:sz="6" w:space="0" w:color="FFFFFF"/>
              <w:right w:val="single" w:sz="6" w:space="0" w:color="FFFFFF"/>
            </w:tcBorders>
            <w:shd w:val="clear" w:color="auto" w:fill="F8F9FF"/>
          </w:tcPr>
          <w:p w14:paraId="4FF52A3A" w14:textId="77777777" w:rsidR="00FC6C68" w:rsidRDefault="00000000">
            <w:pPr>
              <w:spacing w:before="100" w:after="100"/>
            </w:pPr>
            <w:r>
              <w:rPr>
                <w:rFonts w:ascii="Calibri" w:hAnsi="Calibri"/>
                <w:color w:val="1A1A2E"/>
                <w:sz w:val="20"/>
              </w:rPr>
              <w:t>Post-Exploitation &amp; Privilege Escalation</w:t>
            </w:r>
          </w:p>
        </w:tc>
        <w:tc>
          <w:tcPr>
            <w:tcW w:w="2351" w:type="dxa"/>
            <w:tcBorders>
              <w:top w:val="single" w:sz="6" w:space="0" w:color="FFFFFF"/>
              <w:left w:val="single" w:sz="6" w:space="0" w:color="FFFFFF"/>
              <w:bottom w:val="single" w:sz="6" w:space="0" w:color="FFFFFF"/>
              <w:right w:val="single" w:sz="6" w:space="0" w:color="FFFFFF"/>
            </w:tcBorders>
            <w:shd w:val="clear" w:color="auto" w:fill="F8F9FF"/>
          </w:tcPr>
          <w:p w14:paraId="0B61DE72" w14:textId="77777777" w:rsidR="00FC6C68" w:rsidRDefault="00000000">
            <w:pPr>
              <w:spacing w:before="100" w:after="100"/>
            </w:pPr>
            <w:r>
              <w:rPr>
                <w:rFonts w:ascii="Calibri" w:hAnsi="Calibri"/>
                <w:color w:val="1A1A2E"/>
                <w:sz w:val="20"/>
              </w:rPr>
              <w:t>5 rooms</w:t>
            </w:r>
          </w:p>
        </w:tc>
        <w:tc>
          <w:tcPr>
            <w:tcW w:w="2351" w:type="dxa"/>
            <w:tcBorders>
              <w:top w:val="single" w:sz="6" w:space="0" w:color="FFFFFF"/>
              <w:left w:val="single" w:sz="6" w:space="0" w:color="FFFFFF"/>
              <w:bottom w:val="single" w:sz="6" w:space="0" w:color="FFFFFF"/>
              <w:right w:val="single" w:sz="6" w:space="0" w:color="FFFFFF"/>
            </w:tcBorders>
            <w:shd w:val="clear" w:color="auto" w:fill="F8F9FF"/>
          </w:tcPr>
          <w:p w14:paraId="449F7A0E" w14:textId="77777777" w:rsidR="00FC6C68" w:rsidRDefault="00000000">
            <w:pPr>
              <w:spacing w:before="100" w:after="100"/>
            </w:pPr>
            <w:r>
              <w:rPr>
                <w:rFonts w:ascii="Calibri" w:hAnsi="Calibri"/>
                <w:color w:val="1A1A2E"/>
                <w:sz w:val="20"/>
              </w:rPr>
              <w:t>Post-access techniques</w:t>
            </w:r>
          </w:p>
        </w:tc>
      </w:tr>
      <w:tr w:rsidR="00FC6C68" w14:paraId="5905F386" w14:textId="77777777">
        <w:tc>
          <w:tcPr>
            <w:tcW w:w="2351" w:type="dxa"/>
            <w:tcBorders>
              <w:top w:val="single" w:sz="6" w:space="0" w:color="FFFFFF"/>
              <w:left w:val="single" w:sz="6" w:space="0" w:color="FFFFFF"/>
              <w:bottom w:val="single" w:sz="6" w:space="0" w:color="FFFFFF"/>
              <w:right w:val="single" w:sz="6" w:space="0" w:color="FFFFFF"/>
            </w:tcBorders>
            <w:shd w:val="clear" w:color="auto" w:fill="E8EDFF"/>
          </w:tcPr>
          <w:p w14:paraId="4AF89399" w14:textId="77777777" w:rsidR="00FC6C68" w:rsidRDefault="00000000">
            <w:pPr>
              <w:spacing w:before="100" w:after="100"/>
            </w:pPr>
            <w:r>
              <w:rPr>
                <w:rFonts w:ascii="Calibri" w:hAnsi="Calibri"/>
                <w:color w:val="1A1A2E"/>
                <w:sz w:val="20"/>
              </w:rPr>
              <w:t>9</w:t>
            </w:r>
          </w:p>
        </w:tc>
        <w:tc>
          <w:tcPr>
            <w:tcW w:w="2351" w:type="dxa"/>
            <w:tcBorders>
              <w:top w:val="single" w:sz="6" w:space="0" w:color="FFFFFF"/>
              <w:left w:val="single" w:sz="6" w:space="0" w:color="FFFFFF"/>
              <w:bottom w:val="single" w:sz="6" w:space="0" w:color="FFFFFF"/>
              <w:right w:val="single" w:sz="6" w:space="0" w:color="FFFFFF"/>
            </w:tcBorders>
            <w:shd w:val="clear" w:color="auto" w:fill="E8EDFF"/>
          </w:tcPr>
          <w:p w14:paraId="3D433444" w14:textId="77777777" w:rsidR="00FC6C68" w:rsidRDefault="00000000">
            <w:pPr>
              <w:spacing w:before="100" w:after="100"/>
            </w:pPr>
            <w:r>
              <w:rPr>
                <w:rFonts w:ascii="Calibri" w:hAnsi="Calibri"/>
                <w:color w:val="1A1A2E"/>
                <w:sz w:val="20"/>
              </w:rPr>
              <w:t>Reporting &amp; Documentation</w:t>
            </w:r>
          </w:p>
        </w:tc>
        <w:tc>
          <w:tcPr>
            <w:tcW w:w="2351" w:type="dxa"/>
            <w:tcBorders>
              <w:top w:val="single" w:sz="6" w:space="0" w:color="FFFFFF"/>
              <w:left w:val="single" w:sz="6" w:space="0" w:color="FFFFFF"/>
              <w:bottom w:val="single" w:sz="6" w:space="0" w:color="FFFFFF"/>
              <w:right w:val="single" w:sz="6" w:space="0" w:color="FFFFFF"/>
            </w:tcBorders>
            <w:shd w:val="clear" w:color="auto" w:fill="E8EDFF"/>
          </w:tcPr>
          <w:p w14:paraId="5638ECD1" w14:textId="77777777" w:rsidR="00FC6C68" w:rsidRDefault="00000000">
            <w:pPr>
              <w:spacing w:before="100" w:after="100"/>
            </w:pPr>
            <w:r>
              <w:rPr>
                <w:rFonts w:ascii="Calibri" w:hAnsi="Calibri"/>
                <w:color w:val="1A1A2E"/>
                <w:sz w:val="20"/>
              </w:rPr>
              <w:t>4 rooms</w:t>
            </w:r>
          </w:p>
        </w:tc>
        <w:tc>
          <w:tcPr>
            <w:tcW w:w="2351" w:type="dxa"/>
            <w:tcBorders>
              <w:top w:val="single" w:sz="6" w:space="0" w:color="FFFFFF"/>
              <w:left w:val="single" w:sz="6" w:space="0" w:color="FFFFFF"/>
              <w:bottom w:val="single" w:sz="6" w:space="0" w:color="FFFFFF"/>
              <w:right w:val="single" w:sz="6" w:space="0" w:color="FFFFFF"/>
            </w:tcBorders>
            <w:shd w:val="clear" w:color="auto" w:fill="E8EDFF"/>
          </w:tcPr>
          <w:p w14:paraId="60E1FF24" w14:textId="77777777" w:rsidR="00FC6C68" w:rsidRDefault="00000000">
            <w:pPr>
              <w:spacing w:before="100" w:after="100"/>
            </w:pPr>
            <w:r>
              <w:rPr>
                <w:rFonts w:ascii="Calibri" w:hAnsi="Calibri"/>
                <w:color w:val="1A1A2E"/>
                <w:sz w:val="20"/>
              </w:rPr>
              <w:t>Professional deliverables</w:t>
            </w:r>
          </w:p>
        </w:tc>
      </w:tr>
      <w:tr w:rsidR="00FC6C68" w14:paraId="4852FA86" w14:textId="77777777">
        <w:tc>
          <w:tcPr>
            <w:tcW w:w="2351" w:type="dxa"/>
            <w:tcBorders>
              <w:top w:val="single" w:sz="6" w:space="0" w:color="FFFFFF"/>
              <w:left w:val="single" w:sz="6" w:space="0" w:color="FFFFFF"/>
              <w:bottom w:val="single" w:sz="6" w:space="0" w:color="FFFFFF"/>
              <w:right w:val="single" w:sz="6" w:space="0" w:color="FFFFFF"/>
            </w:tcBorders>
            <w:shd w:val="clear" w:color="auto" w:fill="0A1A2E"/>
          </w:tcPr>
          <w:p w14:paraId="545C47A7" w14:textId="77777777" w:rsidR="00FC6C68" w:rsidRDefault="00FC6C68">
            <w:pPr>
              <w:spacing w:before="100" w:after="100"/>
            </w:pPr>
          </w:p>
        </w:tc>
        <w:tc>
          <w:tcPr>
            <w:tcW w:w="2351" w:type="dxa"/>
            <w:tcBorders>
              <w:top w:val="single" w:sz="6" w:space="0" w:color="FFFFFF"/>
              <w:left w:val="single" w:sz="6" w:space="0" w:color="FFFFFF"/>
              <w:bottom w:val="single" w:sz="6" w:space="0" w:color="FFFFFF"/>
              <w:right w:val="single" w:sz="6" w:space="0" w:color="FFFFFF"/>
            </w:tcBorders>
            <w:shd w:val="clear" w:color="auto" w:fill="0A1A2E"/>
          </w:tcPr>
          <w:p w14:paraId="7335A1B0" w14:textId="77777777" w:rsidR="00FC6C68" w:rsidRDefault="00000000">
            <w:pPr>
              <w:spacing w:before="100" w:after="100"/>
            </w:pPr>
            <w:r>
              <w:rPr>
                <w:rFonts w:ascii="Calibri" w:hAnsi="Calibri"/>
                <w:b/>
                <w:color w:val="FFFFFF"/>
                <w:sz w:val="20"/>
              </w:rPr>
              <w:t>TOTAL</w:t>
            </w:r>
          </w:p>
        </w:tc>
        <w:tc>
          <w:tcPr>
            <w:tcW w:w="2351" w:type="dxa"/>
            <w:tcBorders>
              <w:top w:val="single" w:sz="6" w:space="0" w:color="FFFFFF"/>
              <w:left w:val="single" w:sz="6" w:space="0" w:color="FFFFFF"/>
              <w:bottom w:val="single" w:sz="6" w:space="0" w:color="FFFFFF"/>
              <w:right w:val="single" w:sz="6" w:space="0" w:color="FFFFFF"/>
            </w:tcBorders>
            <w:shd w:val="clear" w:color="auto" w:fill="0A1A2E"/>
          </w:tcPr>
          <w:p w14:paraId="6B88DCD6" w14:textId="77777777" w:rsidR="00FC6C68" w:rsidRDefault="00000000">
            <w:pPr>
              <w:spacing w:before="100" w:after="100"/>
            </w:pPr>
            <w:r>
              <w:rPr>
                <w:rFonts w:ascii="Calibri" w:hAnsi="Calibri"/>
                <w:b/>
                <w:color w:val="FFFFFF"/>
                <w:sz w:val="20"/>
              </w:rPr>
              <w:t>46 rooms</w:t>
            </w:r>
          </w:p>
        </w:tc>
        <w:tc>
          <w:tcPr>
            <w:tcW w:w="2351" w:type="dxa"/>
            <w:tcBorders>
              <w:top w:val="single" w:sz="6" w:space="0" w:color="FFFFFF"/>
              <w:left w:val="single" w:sz="6" w:space="0" w:color="FFFFFF"/>
              <w:bottom w:val="single" w:sz="6" w:space="0" w:color="FFFFFF"/>
              <w:right w:val="single" w:sz="6" w:space="0" w:color="FFFFFF"/>
            </w:tcBorders>
            <w:shd w:val="clear" w:color="auto" w:fill="0A1A2E"/>
          </w:tcPr>
          <w:p w14:paraId="7C8D0057" w14:textId="77777777" w:rsidR="00FC6C68" w:rsidRDefault="00FC6C68">
            <w:pPr>
              <w:spacing w:before="100" w:after="100"/>
            </w:pPr>
          </w:p>
        </w:tc>
      </w:tr>
    </w:tbl>
    <w:p w14:paraId="3261B654" w14:textId="77777777" w:rsidR="00FC6C68" w:rsidRDefault="00FC6C68"/>
    <w:p w14:paraId="699C9193" w14:textId="77777777" w:rsidR="00FC6C68" w:rsidRDefault="00000000">
      <w:pPr>
        <w:spacing w:before="360" w:after="80"/>
      </w:pPr>
      <w:r>
        <w:rPr>
          <w:rFonts w:ascii="Calibri" w:hAnsi="Calibri"/>
          <w:b/>
          <w:color w:val="0A1A2E"/>
          <w:sz w:val="36"/>
        </w:rPr>
        <w:t>Module 1: Penetration Testing Fundamentals</w:t>
      </w:r>
    </w:p>
    <w:p w14:paraId="3689A52C" w14:textId="77777777" w:rsidR="00FC6C68" w:rsidRDefault="00000000">
      <w:pPr>
        <w:spacing w:after="160"/>
      </w:pPr>
      <w:r>
        <w:rPr>
          <w:rFonts w:ascii="Calibri" w:hAnsi="Calibri"/>
          <w:i/>
          <w:color w:val="444466"/>
          <w:sz w:val="20"/>
        </w:rPr>
        <w:t>Establishes the legal, ethical, and methodological foundation every penetration tester must understand before touching a target. Learners will understand what pentesting actually is, how it differs from hacking, and how professional engagements are structured.</w:t>
      </w:r>
    </w:p>
    <w:tbl>
      <w:tblPr>
        <w:tblW w:w="0" w:type="auto"/>
        <w:tblLook w:val="04A0" w:firstRow="1" w:lastRow="0" w:firstColumn="1" w:lastColumn="0" w:noHBand="0" w:noVBand="1"/>
      </w:tblPr>
      <w:tblGrid>
        <w:gridCol w:w="4703"/>
        <w:gridCol w:w="4703"/>
      </w:tblGrid>
      <w:tr w:rsidR="00FC6C68" w14:paraId="744F50DB" w14:textId="77777777">
        <w:tc>
          <w:tcPr>
            <w:tcW w:w="4703" w:type="dxa"/>
            <w:tcBorders>
              <w:top w:val="single" w:sz="6" w:space="0" w:color="FFFFFF"/>
              <w:left w:val="single" w:sz="6" w:space="0" w:color="FFFFFF"/>
              <w:bottom w:val="single" w:sz="6" w:space="0" w:color="FFFFFF"/>
              <w:right w:val="single" w:sz="6" w:space="0" w:color="FFFFFF"/>
            </w:tcBorders>
            <w:shd w:val="clear" w:color="auto" w:fill="0A1A2E"/>
          </w:tcPr>
          <w:p w14:paraId="59924A9F" w14:textId="77777777" w:rsidR="00FC6C68" w:rsidRDefault="00000000">
            <w:pPr>
              <w:spacing w:before="120" w:after="120"/>
            </w:pPr>
            <w:r>
              <w:rPr>
                <w:rFonts w:ascii="Calibri" w:hAnsi="Calibri"/>
                <w:b/>
                <w:color w:val="FFFFFF"/>
                <w:sz w:val="20"/>
              </w:rPr>
              <w:t>Room Name</w:t>
            </w:r>
          </w:p>
        </w:tc>
        <w:tc>
          <w:tcPr>
            <w:tcW w:w="4703" w:type="dxa"/>
            <w:tcBorders>
              <w:top w:val="single" w:sz="6" w:space="0" w:color="FFFFFF"/>
              <w:left w:val="single" w:sz="6" w:space="0" w:color="FFFFFF"/>
              <w:bottom w:val="single" w:sz="6" w:space="0" w:color="FFFFFF"/>
              <w:right w:val="single" w:sz="6" w:space="0" w:color="FFFFFF"/>
            </w:tcBorders>
            <w:shd w:val="clear" w:color="auto" w:fill="0A1A2E"/>
          </w:tcPr>
          <w:p w14:paraId="5C459418" w14:textId="77777777" w:rsidR="00FC6C68" w:rsidRDefault="00000000">
            <w:pPr>
              <w:spacing w:before="120" w:after="120"/>
            </w:pPr>
            <w:r>
              <w:rPr>
                <w:rFonts w:ascii="Calibri" w:hAnsi="Calibri"/>
                <w:b/>
                <w:color w:val="FFFFFF"/>
                <w:sz w:val="20"/>
              </w:rPr>
              <w:t>Description</w:t>
            </w:r>
          </w:p>
        </w:tc>
      </w:tr>
      <w:tr w:rsidR="00FC6C68" w14:paraId="2FDADB70" w14:textId="77777777" w:rsidTr="00CE588F">
        <w:tc>
          <w:tcPr>
            <w:tcW w:w="4703" w:type="dxa"/>
            <w:tcBorders>
              <w:top w:val="single" w:sz="6" w:space="0" w:color="FFFFFF"/>
              <w:left w:val="single" w:sz="6" w:space="0" w:color="FFFFFF"/>
              <w:bottom w:val="single" w:sz="6" w:space="0" w:color="FFFFFF"/>
              <w:right w:val="single" w:sz="6" w:space="0" w:color="FFFFFF"/>
            </w:tcBorders>
            <w:shd w:val="clear" w:color="auto" w:fill="92D050"/>
          </w:tcPr>
          <w:p w14:paraId="21DDD03B" w14:textId="77777777" w:rsidR="00FC6C68" w:rsidRDefault="00000000">
            <w:pPr>
              <w:spacing w:before="120" w:after="120"/>
            </w:pPr>
            <w:r>
              <w:rPr>
                <w:rFonts w:ascii="Calibri" w:hAnsi="Calibri"/>
                <w:b/>
                <w:color w:val="0A1A2E"/>
                <w:sz w:val="20"/>
              </w:rPr>
              <w:t>What is Penetration Testing?</w:t>
            </w:r>
          </w:p>
        </w:tc>
        <w:tc>
          <w:tcPr>
            <w:tcW w:w="4703" w:type="dxa"/>
            <w:tcBorders>
              <w:top w:val="single" w:sz="6" w:space="0" w:color="FFFFFF"/>
              <w:left w:val="single" w:sz="6" w:space="0" w:color="FFFFFF"/>
              <w:bottom w:val="single" w:sz="6" w:space="0" w:color="FFFFFF"/>
              <w:right w:val="single" w:sz="6" w:space="0" w:color="FFFFFF"/>
            </w:tcBorders>
            <w:shd w:val="clear" w:color="auto" w:fill="92D050"/>
          </w:tcPr>
          <w:p w14:paraId="558A25D9" w14:textId="77777777" w:rsidR="00FC6C68" w:rsidRDefault="00000000">
            <w:pPr>
              <w:spacing w:before="120" w:after="120"/>
            </w:pPr>
            <w:r>
              <w:rPr>
                <w:rFonts w:ascii="Calibri" w:hAnsi="Calibri"/>
                <w:color w:val="1A1A2E"/>
                <w:sz w:val="20"/>
              </w:rPr>
              <w:t>Defines penetration testing, how it differs from vulnerability scanning and red teaming, and why organisations hire pentesters. Covers the core value proposition — finding weaknesses before attackers do — and introduces the attacker mindset that underpins all pentesting work.</w:t>
            </w:r>
          </w:p>
        </w:tc>
      </w:tr>
      <w:tr w:rsidR="00FC6C68" w14:paraId="7842D9F1" w14:textId="77777777" w:rsidTr="00CE588F">
        <w:tc>
          <w:tcPr>
            <w:tcW w:w="4703" w:type="dxa"/>
            <w:tcBorders>
              <w:top w:val="single" w:sz="6" w:space="0" w:color="FFFFFF"/>
              <w:left w:val="single" w:sz="6" w:space="0" w:color="FFFFFF"/>
              <w:bottom w:val="single" w:sz="6" w:space="0" w:color="FFFFFF"/>
              <w:right w:val="single" w:sz="6" w:space="0" w:color="FFFFFF"/>
            </w:tcBorders>
            <w:shd w:val="clear" w:color="auto" w:fill="92D050"/>
          </w:tcPr>
          <w:p w14:paraId="7A2116D9" w14:textId="77777777" w:rsidR="00FC6C68" w:rsidRDefault="00000000">
            <w:pPr>
              <w:spacing w:before="120" w:after="120"/>
            </w:pPr>
            <w:r>
              <w:rPr>
                <w:rFonts w:ascii="Calibri" w:hAnsi="Calibri"/>
                <w:b/>
                <w:color w:val="0A1A2E"/>
                <w:sz w:val="20"/>
              </w:rPr>
              <w:t>Legal &amp; Ethical Framework</w:t>
            </w:r>
          </w:p>
        </w:tc>
        <w:tc>
          <w:tcPr>
            <w:tcW w:w="4703" w:type="dxa"/>
            <w:tcBorders>
              <w:top w:val="single" w:sz="6" w:space="0" w:color="FFFFFF"/>
              <w:left w:val="single" w:sz="6" w:space="0" w:color="FFFFFF"/>
              <w:bottom w:val="single" w:sz="6" w:space="0" w:color="FFFFFF"/>
              <w:right w:val="single" w:sz="6" w:space="0" w:color="FFFFFF"/>
            </w:tcBorders>
            <w:shd w:val="clear" w:color="auto" w:fill="92D050"/>
          </w:tcPr>
          <w:p w14:paraId="627687C1" w14:textId="77777777" w:rsidR="00FC6C68" w:rsidRDefault="00000000">
            <w:pPr>
              <w:spacing w:before="120" w:after="120"/>
            </w:pPr>
            <w:r>
              <w:rPr>
                <w:rFonts w:ascii="Calibri" w:hAnsi="Calibri"/>
                <w:color w:val="1A1A2E"/>
                <w:sz w:val="20"/>
              </w:rPr>
              <w:t>Covers the legal boundaries of penetration testing including the Computer Misuse Act, CFAA, and authorisation requirements. Explains why written permission is non-negotiable and what happens when pentesters work outside agreed boundaries.</w:t>
            </w:r>
          </w:p>
        </w:tc>
      </w:tr>
      <w:tr w:rsidR="00FC6C68" w14:paraId="17A14871" w14:textId="77777777" w:rsidTr="00CE588F">
        <w:tc>
          <w:tcPr>
            <w:tcW w:w="4703" w:type="dxa"/>
            <w:tcBorders>
              <w:top w:val="single" w:sz="6" w:space="0" w:color="FFFFFF"/>
              <w:left w:val="single" w:sz="6" w:space="0" w:color="FFFFFF"/>
              <w:bottom w:val="single" w:sz="6" w:space="0" w:color="FFFFFF"/>
              <w:right w:val="single" w:sz="6" w:space="0" w:color="FFFFFF"/>
            </w:tcBorders>
            <w:shd w:val="clear" w:color="auto" w:fill="92D050"/>
          </w:tcPr>
          <w:p w14:paraId="37AFE2CB" w14:textId="77777777" w:rsidR="00FC6C68" w:rsidRDefault="00000000">
            <w:pPr>
              <w:spacing w:before="120" w:after="120"/>
            </w:pPr>
            <w:r>
              <w:rPr>
                <w:rFonts w:ascii="Calibri" w:hAnsi="Calibri"/>
                <w:b/>
                <w:color w:val="0A1A2E"/>
                <w:sz w:val="20"/>
              </w:rPr>
              <w:t>Penetration Testing Methodologies</w:t>
            </w:r>
          </w:p>
        </w:tc>
        <w:tc>
          <w:tcPr>
            <w:tcW w:w="4703" w:type="dxa"/>
            <w:tcBorders>
              <w:top w:val="single" w:sz="6" w:space="0" w:color="FFFFFF"/>
              <w:left w:val="single" w:sz="6" w:space="0" w:color="FFFFFF"/>
              <w:bottom w:val="single" w:sz="6" w:space="0" w:color="FFFFFF"/>
              <w:right w:val="single" w:sz="6" w:space="0" w:color="FFFFFF"/>
            </w:tcBorders>
            <w:shd w:val="clear" w:color="auto" w:fill="92D050"/>
          </w:tcPr>
          <w:p w14:paraId="719C637B" w14:textId="77777777" w:rsidR="00FC6C68" w:rsidRDefault="00000000">
            <w:pPr>
              <w:spacing w:before="120" w:after="120"/>
            </w:pPr>
            <w:r>
              <w:rPr>
                <w:rFonts w:ascii="Calibri" w:hAnsi="Calibri"/>
                <w:color w:val="1A1A2E"/>
                <w:sz w:val="20"/>
              </w:rPr>
              <w:t>Introduces the major industry methodologies: PTES, OSSTMM, OWASP Testing Guide, and NIST SP 800-115. Learners understand when each framework applies and how they guide a structured engagement from start to finish.</w:t>
            </w:r>
          </w:p>
        </w:tc>
      </w:tr>
      <w:tr w:rsidR="00FC6C68" w14:paraId="4E6C4521" w14:textId="77777777" w:rsidTr="008265A6">
        <w:tc>
          <w:tcPr>
            <w:tcW w:w="4703" w:type="dxa"/>
            <w:tcBorders>
              <w:top w:val="single" w:sz="6" w:space="0" w:color="FFFFFF"/>
              <w:left w:val="single" w:sz="6" w:space="0" w:color="FFFFFF"/>
              <w:bottom w:val="single" w:sz="6" w:space="0" w:color="FFFFFF"/>
              <w:right w:val="single" w:sz="6" w:space="0" w:color="FFFFFF"/>
            </w:tcBorders>
            <w:shd w:val="clear" w:color="auto" w:fill="92D050"/>
          </w:tcPr>
          <w:p w14:paraId="2164DA1D" w14:textId="77777777" w:rsidR="00FC6C68" w:rsidRDefault="00000000">
            <w:pPr>
              <w:spacing w:before="120" w:after="120"/>
            </w:pPr>
            <w:r>
              <w:rPr>
                <w:rFonts w:ascii="Calibri" w:hAnsi="Calibri"/>
                <w:b/>
                <w:color w:val="0A1A2E"/>
                <w:sz w:val="20"/>
              </w:rPr>
              <w:t>Scoping &amp; Rules of Engagement</w:t>
            </w:r>
          </w:p>
        </w:tc>
        <w:tc>
          <w:tcPr>
            <w:tcW w:w="4703" w:type="dxa"/>
            <w:tcBorders>
              <w:top w:val="single" w:sz="6" w:space="0" w:color="FFFFFF"/>
              <w:left w:val="single" w:sz="6" w:space="0" w:color="FFFFFF"/>
              <w:bottom w:val="single" w:sz="6" w:space="0" w:color="FFFFFF"/>
              <w:right w:val="single" w:sz="6" w:space="0" w:color="FFFFFF"/>
            </w:tcBorders>
            <w:shd w:val="clear" w:color="auto" w:fill="92D050"/>
          </w:tcPr>
          <w:p w14:paraId="351053D1" w14:textId="77777777" w:rsidR="00FC6C68" w:rsidRDefault="00000000">
            <w:pPr>
              <w:spacing w:before="120" w:after="120"/>
            </w:pPr>
            <w:r>
              <w:rPr>
                <w:rFonts w:ascii="Calibri" w:hAnsi="Calibri"/>
                <w:color w:val="1A1A2E"/>
                <w:sz w:val="20"/>
              </w:rPr>
              <w:t>Explains how to read and interpret a Statement of Work (SOW) and Rules of Engagement (RoE). Covers in-scope vs out-of-scope assets, time windows, emergency contacts, and how a poorly scoped engagement can cause legal and operational damage.</w:t>
            </w:r>
          </w:p>
        </w:tc>
      </w:tr>
      <w:tr w:rsidR="00FC6C68" w14:paraId="0E3EF487" w14:textId="77777777" w:rsidTr="008265A6">
        <w:tc>
          <w:tcPr>
            <w:tcW w:w="4703" w:type="dxa"/>
            <w:tcBorders>
              <w:top w:val="single" w:sz="6" w:space="0" w:color="FFFFFF"/>
              <w:left w:val="single" w:sz="6" w:space="0" w:color="FFFFFF"/>
              <w:bottom w:val="single" w:sz="6" w:space="0" w:color="FFFFFF"/>
              <w:right w:val="single" w:sz="6" w:space="0" w:color="FFFFFF"/>
            </w:tcBorders>
            <w:shd w:val="clear" w:color="auto" w:fill="92D050"/>
          </w:tcPr>
          <w:p w14:paraId="2AA4D26A" w14:textId="77777777" w:rsidR="00FC6C68" w:rsidRDefault="00000000">
            <w:pPr>
              <w:spacing w:before="120" w:after="120"/>
            </w:pPr>
            <w:r>
              <w:rPr>
                <w:rFonts w:ascii="Calibri" w:hAnsi="Calibri"/>
                <w:b/>
                <w:color w:val="0A1A2E"/>
                <w:sz w:val="20"/>
              </w:rPr>
              <w:t>Types of Penetration Tests</w:t>
            </w:r>
          </w:p>
        </w:tc>
        <w:tc>
          <w:tcPr>
            <w:tcW w:w="4703" w:type="dxa"/>
            <w:tcBorders>
              <w:top w:val="single" w:sz="6" w:space="0" w:color="FFFFFF"/>
              <w:left w:val="single" w:sz="6" w:space="0" w:color="FFFFFF"/>
              <w:bottom w:val="single" w:sz="6" w:space="0" w:color="FFFFFF"/>
              <w:right w:val="single" w:sz="6" w:space="0" w:color="FFFFFF"/>
            </w:tcBorders>
            <w:shd w:val="clear" w:color="auto" w:fill="92D050"/>
          </w:tcPr>
          <w:p w14:paraId="1028F4AB" w14:textId="77777777" w:rsidR="00FC6C68" w:rsidRDefault="00000000">
            <w:pPr>
              <w:spacing w:before="120" w:after="120"/>
            </w:pPr>
            <w:r>
              <w:rPr>
                <w:rFonts w:ascii="Calibri" w:hAnsi="Calibri"/>
                <w:color w:val="1A1A2E"/>
                <w:sz w:val="20"/>
              </w:rPr>
              <w:t xml:space="preserve">Distinguishes between black-box, grey-box, and white-box testing and explains when each is used. Introduces the five standard pentesting phases — Reconnaissance, Scanning, Exploitation, Post-Exploitation, and Reporting — the framework that </w:t>
            </w:r>
            <w:r>
              <w:rPr>
                <w:rFonts w:ascii="Calibri" w:hAnsi="Calibri"/>
                <w:color w:val="1A1A2E"/>
                <w:sz w:val="20"/>
              </w:rPr>
              <w:lastRenderedPageBreak/>
              <w:t>structures this entire path.</w:t>
            </w:r>
          </w:p>
        </w:tc>
      </w:tr>
    </w:tbl>
    <w:p w14:paraId="20379F8F" w14:textId="77777777" w:rsidR="00FC6C68" w:rsidRDefault="00FC6C68"/>
    <w:p w14:paraId="10F0F37D" w14:textId="77777777" w:rsidR="00FC6C68" w:rsidRDefault="00000000">
      <w:pPr>
        <w:spacing w:before="360" w:after="80"/>
      </w:pPr>
      <w:r>
        <w:rPr>
          <w:rFonts w:ascii="Calibri" w:hAnsi="Calibri"/>
          <w:b/>
          <w:color w:val="0A1A2E"/>
          <w:sz w:val="36"/>
        </w:rPr>
        <w:t>Module 2: Reconnaissance &amp; OSINT</w:t>
      </w:r>
    </w:p>
    <w:p w14:paraId="06B9C147" w14:textId="77777777" w:rsidR="00FC6C68" w:rsidRDefault="00000000">
      <w:pPr>
        <w:spacing w:after="160"/>
      </w:pPr>
      <w:r>
        <w:rPr>
          <w:rFonts w:ascii="Calibri" w:hAnsi="Calibri"/>
          <w:i/>
          <w:color w:val="444466"/>
          <w:sz w:val="20"/>
        </w:rPr>
        <w:t>Reconnaissance is the first phase of any penetration test. This module teaches learners how to gather intelligence on a target using only publicly available information, leaving no footprint on the target's systems.</w:t>
      </w:r>
    </w:p>
    <w:tbl>
      <w:tblPr>
        <w:tblW w:w="0" w:type="auto"/>
        <w:tblLook w:val="04A0" w:firstRow="1" w:lastRow="0" w:firstColumn="1" w:lastColumn="0" w:noHBand="0" w:noVBand="1"/>
      </w:tblPr>
      <w:tblGrid>
        <w:gridCol w:w="4703"/>
        <w:gridCol w:w="4703"/>
      </w:tblGrid>
      <w:tr w:rsidR="00FC6C68" w14:paraId="114FBFDB" w14:textId="77777777">
        <w:tc>
          <w:tcPr>
            <w:tcW w:w="4703" w:type="dxa"/>
            <w:tcBorders>
              <w:top w:val="single" w:sz="6" w:space="0" w:color="FFFFFF"/>
              <w:left w:val="single" w:sz="6" w:space="0" w:color="FFFFFF"/>
              <w:bottom w:val="single" w:sz="6" w:space="0" w:color="FFFFFF"/>
              <w:right w:val="single" w:sz="6" w:space="0" w:color="FFFFFF"/>
            </w:tcBorders>
            <w:shd w:val="clear" w:color="auto" w:fill="0A1A2E"/>
          </w:tcPr>
          <w:p w14:paraId="1F38837B" w14:textId="77777777" w:rsidR="00FC6C68" w:rsidRDefault="00000000">
            <w:pPr>
              <w:spacing w:before="120" w:after="120"/>
            </w:pPr>
            <w:r>
              <w:rPr>
                <w:rFonts w:ascii="Calibri" w:hAnsi="Calibri"/>
                <w:b/>
                <w:color w:val="FFFFFF"/>
                <w:sz w:val="20"/>
              </w:rPr>
              <w:t>Room Name</w:t>
            </w:r>
          </w:p>
        </w:tc>
        <w:tc>
          <w:tcPr>
            <w:tcW w:w="4703" w:type="dxa"/>
            <w:tcBorders>
              <w:top w:val="single" w:sz="6" w:space="0" w:color="FFFFFF"/>
              <w:left w:val="single" w:sz="6" w:space="0" w:color="FFFFFF"/>
              <w:bottom w:val="single" w:sz="6" w:space="0" w:color="FFFFFF"/>
              <w:right w:val="single" w:sz="6" w:space="0" w:color="FFFFFF"/>
            </w:tcBorders>
            <w:shd w:val="clear" w:color="auto" w:fill="0A1A2E"/>
          </w:tcPr>
          <w:p w14:paraId="5618D27C" w14:textId="77777777" w:rsidR="00FC6C68" w:rsidRDefault="00000000">
            <w:pPr>
              <w:spacing w:before="120" w:after="120"/>
            </w:pPr>
            <w:r>
              <w:rPr>
                <w:rFonts w:ascii="Calibri" w:hAnsi="Calibri"/>
                <w:b/>
                <w:color w:val="FFFFFF"/>
                <w:sz w:val="20"/>
              </w:rPr>
              <w:t>Description</w:t>
            </w:r>
          </w:p>
        </w:tc>
      </w:tr>
      <w:tr w:rsidR="00FC6C68" w14:paraId="2EFF52E4" w14:textId="77777777" w:rsidTr="00F12245">
        <w:tc>
          <w:tcPr>
            <w:tcW w:w="4703" w:type="dxa"/>
            <w:tcBorders>
              <w:top w:val="single" w:sz="6" w:space="0" w:color="FFFFFF"/>
              <w:left w:val="single" w:sz="6" w:space="0" w:color="FFFFFF"/>
              <w:bottom w:val="single" w:sz="6" w:space="0" w:color="FFFFFF"/>
              <w:right w:val="single" w:sz="6" w:space="0" w:color="FFFFFF"/>
            </w:tcBorders>
            <w:shd w:val="clear" w:color="auto" w:fill="92D050"/>
          </w:tcPr>
          <w:p w14:paraId="3B80021C" w14:textId="77777777" w:rsidR="00FC6C68" w:rsidRDefault="00000000">
            <w:pPr>
              <w:spacing w:before="120" w:after="120"/>
            </w:pPr>
            <w:r>
              <w:rPr>
                <w:rFonts w:ascii="Calibri" w:hAnsi="Calibri"/>
                <w:b/>
                <w:color w:val="0A1A2E"/>
                <w:sz w:val="20"/>
              </w:rPr>
              <w:t>Introduction to Reconnaissance</w:t>
            </w:r>
          </w:p>
        </w:tc>
        <w:tc>
          <w:tcPr>
            <w:tcW w:w="4703" w:type="dxa"/>
            <w:tcBorders>
              <w:top w:val="single" w:sz="6" w:space="0" w:color="FFFFFF"/>
              <w:left w:val="single" w:sz="6" w:space="0" w:color="FFFFFF"/>
              <w:bottom w:val="single" w:sz="6" w:space="0" w:color="FFFFFF"/>
              <w:right w:val="single" w:sz="6" w:space="0" w:color="FFFFFF"/>
            </w:tcBorders>
            <w:shd w:val="clear" w:color="auto" w:fill="92D050"/>
          </w:tcPr>
          <w:p w14:paraId="38DDC5F0" w14:textId="77777777" w:rsidR="00FC6C68" w:rsidRDefault="00000000">
            <w:pPr>
              <w:spacing w:before="120" w:after="120"/>
            </w:pPr>
            <w:r>
              <w:rPr>
                <w:rFonts w:ascii="Calibri" w:hAnsi="Calibri"/>
                <w:color w:val="1A1A2E"/>
                <w:sz w:val="20"/>
              </w:rPr>
              <w:t>Defines active vs passive reconnaissance and explains why professionals begin with passive techniques. Covers the intelligence cycle: planning what information is needed, collecting it, processing it, and using it to plan the next phase of the engagement.</w:t>
            </w:r>
          </w:p>
        </w:tc>
      </w:tr>
      <w:tr w:rsidR="00FC6C68" w14:paraId="4B4D54C7" w14:textId="77777777" w:rsidTr="00F12245">
        <w:tc>
          <w:tcPr>
            <w:tcW w:w="4703" w:type="dxa"/>
            <w:tcBorders>
              <w:top w:val="single" w:sz="6" w:space="0" w:color="FFFFFF"/>
              <w:left w:val="single" w:sz="6" w:space="0" w:color="FFFFFF"/>
              <w:bottom w:val="single" w:sz="6" w:space="0" w:color="FFFFFF"/>
              <w:right w:val="single" w:sz="6" w:space="0" w:color="FFFFFF"/>
            </w:tcBorders>
            <w:shd w:val="clear" w:color="auto" w:fill="92D050"/>
          </w:tcPr>
          <w:p w14:paraId="141BD257" w14:textId="77777777" w:rsidR="00FC6C68" w:rsidRDefault="00000000">
            <w:pPr>
              <w:spacing w:before="120" w:after="120"/>
            </w:pPr>
            <w:r>
              <w:rPr>
                <w:rFonts w:ascii="Calibri" w:hAnsi="Calibri"/>
                <w:b/>
                <w:color w:val="0A1A2E"/>
                <w:sz w:val="20"/>
              </w:rPr>
              <w:t>Google Dorking &amp; Search Engine OSINT</w:t>
            </w:r>
          </w:p>
        </w:tc>
        <w:tc>
          <w:tcPr>
            <w:tcW w:w="4703" w:type="dxa"/>
            <w:tcBorders>
              <w:top w:val="single" w:sz="6" w:space="0" w:color="FFFFFF"/>
              <w:left w:val="single" w:sz="6" w:space="0" w:color="FFFFFF"/>
              <w:bottom w:val="single" w:sz="6" w:space="0" w:color="FFFFFF"/>
              <w:right w:val="single" w:sz="6" w:space="0" w:color="FFFFFF"/>
            </w:tcBorders>
            <w:shd w:val="clear" w:color="auto" w:fill="92D050"/>
          </w:tcPr>
          <w:p w14:paraId="0A612176" w14:textId="77777777" w:rsidR="00FC6C68" w:rsidRDefault="00000000">
            <w:pPr>
              <w:spacing w:before="120" w:after="120"/>
            </w:pPr>
            <w:r>
              <w:rPr>
                <w:rFonts w:ascii="Calibri" w:hAnsi="Calibri"/>
                <w:color w:val="1A1A2E"/>
                <w:sz w:val="20"/>
              </w:rPr>
              <w:t>Teaches advanced search operators (site:, filetype:, inurl:, intitle:) to uncover exposed login panels, sensitive files, and employee data indexed by search engines. Includes a simulation where learners construct dorks to locate exposed company assets.</w:t>
            </w:r>
          </w:p>
        </w:tc>
      </w:tr>
      <w:tr w:rsidR="00FC6C68" w14:paraId="25ACABBB" w14:textId="77777777" w:rsidTr="00F12245">
        <w:tc>
          <w:tcPr>
            <w:tcW w:w="4703" w:type="dxa"/>
            <w:tcBorders>
              <w:top w:val="single" w:sz="6" w:space="0" w:color="FFFFFF"/>
              <w:left w:val="single" w:sz="6" w:space="0" w:color="FFFFFF"/>
              <w:bottom w:val="single" w:sz="6" w:space="0" w:color="FFFFFF"/>
              <w:right w:val="single" w:sz="6" w:space="0" w:color="FFFFFF"/>
            </w:tcBorders>
            <w:shd w:val="clear" w:color="auto" w:fill="92D050"/>
          </w:tcPr>
          <w:p w14:paraId="70BA36DF" w14:textId="77777777" w:rsidR="00FC6C68" w:rsidRDefault="00000000">
            <w:pPr>
              <w:spacing w:before="120" w:after="120"/>
            </w:pPr>
            <w:r>
              <w:rPr>
                <w:rFonts w:ascii="Calibri" w:hAnsi="Calibri"/>
                <w:b/>
                <w:color w:val="0A1A2E"/>
                <w:sz w:val="20"/>
              </w:rPr>
              <w:t>WHOIS, DNS &amp; Domain Enumeration</w:t>
            </w:r>
          </w:p>
        </w:tc>
        <w:tc>
          <w:tcPr>
            <w:tcW w:w="4703" w:type="dxa"/>
            <w:tcBorders>
              <w:top w:val="single" w:sz="6" w:space="0" w:color="FFFFFF"/>
              <w:left w:val="single" w:sz="6" w:space="0" w:color="FFFFFF"/>
              <w:bottom w:val="single" w:sz="6" w:space="0" w:color="FFFFFF"/>
              <w:right w:val="single" w:sz="6" w:space="0" w:color="FFFFFF"/>
            </w:tcBorders>
            <w:shd w:val="clear" w:color="auto" w:fill="92D050"/>
          </w:tcPr>
          <w:p w14:paraId="32D80E63" w14:textId="77777777" w:rsidR="00FC6C68" w:rsidRDefault="00000000">
            <w:pPr>
              <w:spacing w:before="120" w:after="120"/>
            </w:pPr>
            <w:r>
              <w:rPr>
                <w:rFonts w:ascii="Calibri" w:hAnsi="Calibri"/>
                <w:color w:val="1A1A2E"/>
                <w:sz w:val="20"/>
              </w:rPr>
              <w:t>Covers WHOIS lookups, DNS record types (A, MX, NS, TXT, CNAME, PTR), zone transfer vulnerabilities, and subdomain enumeration techniques. Learners discover how DNS records reveal infrastructure details that can be pivoted into during later phases.</w:t>
            </w:r>
          </w:p>
        </w:tc>
      </w:tr>
      <w:tr w:rsidR="00FC6C68" w14:paraId="42230223" w14:textId="77777777" w:rsidTr="00F12245">
        <w:tc>
          <w:tcPr>
            <w:tcW w:w="4703" w:type="dxa"/>
            <w:tcBorders>
              <w:top w:val="single" w:sz="6" w:space="0" w:color="FFFFFF"/>
              <w:left w:val="single" w:sz="6" w:space="0" w:color="FFFFFF"/>
              <w:bottom w:val="single" w:sz="6" w:space="0" w:color="FFFFFF"/>
              <w:right w:val="single" w:sz="6" w:space="0" w:color="FFFFFF"/>
            </w:tcBorders>
            <w:shd w:val="clear" w:color="auto" w:fill="92D050"/>
          </w:tcPr>
          <w:p w14:paraId="6C44EE83" w14:textId="77777777" w:rsidR="00FC6C68" w:rsidRDefault="00000000">
            <w:pPr>
              <w:spacing w:before="120" w:after="120"/>
            </w:pPr>
            <w:r>
              <w:rPr>
                <w:rFonts w:ascii="Calibri" w:hAnsi="Calibri"/>
                <w:b/>
                <w:color w:val="0A1A2E"/>
                <w:sz w:val="20"/>
              </w:rPr>
              <w:t>OSINT on People &amp; Organisations</w:t>
            </w:r>
          </w:p>
        </w:tc>
        <w:tc>
          <w:tcPr>
            <w:tcW w:w="4703" w:type="dxa"/>
            <w:tcBorders>
              <w:top w:val="single" w:sz="6" w:space="0" w:color="FFFFFF"/>
              <w:left w:val="single" w:sz="6" w:space="0" w:color="FFFFFF"/>
              <w:bottom w:val="single" w:sz="6" w:space="0" w:color="FFFFFF"/>
              <w:right w:val="single" w:sz="6" w:space="0" w:color="FFFFFF"/>
            </w:tcBorders>
            <w:shd w:val="clear" w:color="auto" w:fill="92D050"/>
          </w:tcPr>
          <w:p w14:paraId="2B7EFFAB" w14:textId="77777777" w:rsidR="00FC6C68" w:rsidRDefault="00000000">
            <w:pPr>
              <w:spacing w:before="120" w:after="120"/>
            </w:pPr>
            <w:r>
              <w:rPr>
                <w:rFonts w:ascii="Calibri" w:hAnsi="Calibri"/>
                <w:color w:val="1A1A2E"/>
                <w:sz w:val="20"/>
              </w:rPr>
              <w:t>Focuses on gathering intelligence on employees using LinkedIn, GitHub, job postings, and breach databases. Covers how leaked credentials, publicly visible code repositories, and employee profiles expose organisations to targeted attacks.</w:t>
            </w:r>
          </w:p>
        </w:tc>
      </w:tr>
      <w:tr w:rsidR="00FC6C68" w14:paraId="5986D3D0" w14:textId="77777777" w:rsidTr="00F12245">
        <w:tc>
          <w:tcPr>
            <w:tcW w:w="4703" w:type="dxa"/>
            <w:tcBorders>
              <w:top w:val="single" w:sz="6" w:space="0" w:color="FFFFFF"/>
              <w:left w:val="single" w:sz="6" w:space="0" w:color="FFFFFF"/>
              <w:bottom w:val="single" w:sz="6" w:space="0" w:color="FFFFFF"/>
              <w:right w:val="single" w:sz="6" w:space="0" w:color="FFFFFF"/>
            </w:tcBorders>
            <w:shd w:val="clear" w:color="auto" w:fill="92D050"/>
          </w:tcPr>
          <w:p w14:paraId="5415C956" w14:textId="77777777" w:rsidR="00FC6C68" w:rsidRDefault="00000000">
            <w:pPr>
              <w:spacing w:before="120" w:after="120"/>
            </w:pPr>
            <w:r>
              <w:rPr>
                <w:rFonts w:ascii="Calibri" w:hAnsi="Calibri"/>
                <w:b/>
                <w:color w:val="0A1A2E"/>
                <w:sz w:val="20"/>
              </w:rPr>
              <w:t>Shodan &amp; Passive Infrastructure Discovery</w:t>
            </w:r>
          </w:p>
        </w:tc>
        <w:tc>
          <w:tcPr>
            <w:tcW w:w="4703" w:type="dxa"/>
            <w:tcBorders>
              <w:top w:val="single" w:sz="6" w:space="0" w:color="FFFFFF"/>
              <w:left w:val="single" w:sz="6" w:space="0" w:color="FFFFFF"/>
              <w:bottom w:val="single" w:sz="6" w:space="0" w:color="FFFFFF"/>
              <w:right w:val="single" w:sz="6" w:space="0" w:color="FFFFFF"/>
            </w:tcBorders>
            <w:shd w:val="clear" w:color="auto" w:fill="92D050"/>
          </w:tcPr>
          <w:p w14:paraId="62D9D32A" w14:textId="77777777" w:rsidR="00FC6C68" w:rsidRDefault="00000000">
            <w:pPr>
              <w:spacing w:before="120" w:after="120"/>
            </w:pPr>
            <w:r>
              <w:rPr>
                <w:rFonts w:ascii="Calibri" w:hAnsi="Calibri"/>
                <w:color w:val="1A1A2E"/>
                <w:sz w:val="20"/>
              </w:rPr>
              <w:t>Introduces Shodan as a search engine for internet-connected devices. Learners discover how attackers find exposed databases and unpatched services without touching the target network. Covers Shodan filters, banners, and CVE lookups.</w:t>
            </w:r>
          </w:p>
        </w:tc>
      </w:tr>
    </w:tbl>
    <w:p w14:paraId="2478BF6F" w14:textId="77777777" w:rsidR="00FC6C68" w:rsidRDefault="00FC6C68"/>
    <w:p w14:paraId="4754DC3E" w14:textId="77777777" w:rsidR="00FC6C68" w:rsidRDefault="00000000">
      <w:pPr>
        <w:spacing w:before="360" w:after="80"/>
      </w:pPr>
      <w:r>
        <w:rPr>
          <w:rFonts w:ascii="Calibri" w:hAnsi="Calibri"/>
          <w:b/>
          <w:color w:val="0A1A2E"/>
          <w:sz w:val="36"/>
        </w:rPr>
        <w:t>Module 3: Scanning &amp; Enumeration</w:t>
      </w:r>
    </w:p>
    <w:p w14:paraId="1D9204FA" w14:textId="77777777" w:rsidR="00FC6C68" w:rsidRDefault="00000000">
      <w:pPr>
        <w:spacing w:after="160"/>
      </w:pPr>
      <w:r>
        <w:rPr>
          <w:rFonts w:ascii="Calibri" w:hAnsi="Calibri"/>
          <w:i/>
          <w:color w:val="444466"/>
          <w:sz w:val="20"/>
        </w:rPr>
        <w:t>Where reconnaissance collects public data, scanning actively probes the target to map its attack surface. This module covers the tools and techniques used to discover open ports, running services, and potential vulnerabilities.</w:t>
      </w:r>
    </w:p>
    <w:tbl>
      <w:tblPr>
        <w:tblW w:w="0" w:type="auto"/>
        <w:tblLook w:val="04A0" w:firstRow="1" w:lastRow="0" w:firstColumn="1" w:lastColumn="0" w:noHBand="0" w:noVBand="1"/>
      </w:tblPr>
      <w:tblGrid>
        <w:gridCol w:w="4703"/>
        <w:gridCol w:w="4703"/>
      </w:tblGrid>
      <w:tr w:rsidR="00FC6C68" w14:paraId="6A279698" w14:textId="77777777">
        <w:tc>
          <w:tcPr>
            <w:tcW w:w="4703" w:type="dxa"/>
            <w:tcBorders>
              <w:top w:val="single" w:sz="6" w:space="0" w:color="FFFFFF"/>
              <w:left w:val="single" w:sz="6" w:space="0" w:color="FFFFFF"/>
              <w:bottom w:val="single" w:sz="6" w:space="0" w:color="FFFFFF"/>
              <w:right w:val="single" w:sz="6" w:space="0" w:color="FFFFFF"/>
            </w:tcBorders>
            <w:shd w:val="clear" w:color="auto" w:fill="0A1A2E"/>
          </w:tcPr>
          <w:p w14:paraId="05D5A51E" w14:textId="77777777" w:rsidR="00FC6C68" w:rsidRDefault="00000000">
            <w:pPr>
              <w:spacing w:before="120" w:after="120"/>
            </w:pPr>
            <w:r>
              <w:rPr>
                <w:rFonts w:ascii="Calibri" w:hAnsi="Calibri"/>
                <w:b/>
                <w:color w:val="FFFFFF"/>
                <w:sz w:val="20"/>
              </w:rPr>
              <w:lastRenderedPageBreak/>
              <w:t>Room Name</w:t>
            </w:r>
          </w:p>
        </w:tc>
        <w:tc>
          <w:tcPr>
            <w:tcW w:w="4703" w:type="dxa"/>
            <w:tcBorders>
              <w:top w:val="single" w:sz="6" w:space="0" w:color="FFFFFF"/>
              <w:left w:val="single" w:sz="6" w:space="0" w:color="FFFFFF"/>
              <w:bottom w:val="single" w:sz="6" w:space="0" w:color="FFFFFF"/>
              <w:right w:val="single" w:sz="6" w:space="0" w:color="FFFFFF"/>
            </w:tcBorders>
            <w:shd w:val="clear" w:color="auto" w:fill="0A1A2E"/>
          </w:tcPr>
          <w:p w14:paraId="702C2F83" w14:textId="77777777" w:rsidR="00FC6C68" w:rsidRDefault="00000000">
            <w:pPr>
              <w:spacing w:before="120" w:after="120"/>
            </w:pPr>
            <w:r>
              <w:rPr>
                <w:rFonts w:ascii="Calibri" w:hAnsi="Calibri"/>
                <w:b/>
                <w:color w:val="FFFFFF"/>
                <w:sz w:val="20"/>
              </w:rPr>
              <w:t>Description</w:t>
            </w:r>
          </w:p>
        </w:tc>
      </w:tr>
      <w:tr w:rsidR="00FC6C68" w14:paraId="446119DA" w14:textId="77777777" w:rsidTr="00265956">
        <w:tc>
          <w:tcPr>
            <w:tcW w:w="4703" w:type="dxa"/>
            <w:tcBorders>
              <w:top w:val="single" w:sz="6" w:space="0" w:color="FFFFFF"/>
              <w:left w:val="single" w:sz="6" w:space="0" w:color="FFFFFF"/>
              <w:bottom w:val="single" w:sz="6" w:space="0" w:color="FFFFFF"/>
              <w:right w:val="single" w:sz="6" w:space="0" w:color="FFFFFF"/>
            </w:tcBorders>
            <w:shd w:val="clear" w:color="auto" w:fill="92D050"/>
          </w:tcPr>
          <w:p w14:paraId="0BC9358A" w14:textId="77777777" w:rsidR="00FC6C68" w:rsidRDefault="00000000">
            <w:pPr>
              <w:spacing w:before="120" w:after="120"/>
            </w:pPr>
            <w:r>
              <w:rPr>
                <w:rFonts w:ascii="Calibri" w:hAnsi="Calibri"/>
                <w:b/>
                <w:color w:val="0A1A2E"/>
                <w:sz w:val="20"/>
              </w:rPr>
              <w:t>Introduction to Scanning</w:t>
            </w:r>
          </w:p>
        </w:tc>
        <w:tc>
          <w:tcPr>
            <w:tcW w:w="4703" w:type="dxa"/>
            <w:tcBorders>
              <w:top w:val="single" w:sz="6" w:space="0" w:color="FFFFFF"/>
              <w:left w:val="single" w:sz="6" w:space="0" w:color="FFFFFF"/>
              <w:bottom w:val="single" w:sz="6" w:space="0" w:color="FFFFFF"/>
              <w:right w:val="single" w:sz="6" w:space="0" w:color="FFFFFF"/>
            </w:tcBorders>
            <w:shd w:val="clear" w:color="auto" w:fill="92D050"/>
          </w:tcPr>
          <w:p w14:paraId="4117AD53" w14:textId="77777777" w:rsidR="00FC6C68" w:rsidRDefault="00000000">
            <w:pPr>
              <w:spacing w:before="120" w:after="120"/>
            </w:pPr>
            <w:r>
              <w:rPr>
                <w:rFonts w:ascii="Calibri" w:hAnsi="Calibri"/>
                <w:color w:val="1A1A2E"/>
                <w:sz w:val="20"/>
              </w:rPr>
              <w:t>Explains the difference between network scanning, port scanning, and vulnerability scanning. Covers TCP/IP fundamentals relevant to scanning: the three-way handshake, TCP flags, and how scanners use incomplete connections to identify open ports without completing a full connection.</w:t>
            </w:r>
          </w:p>
        </w:tc>
      </w:tr>
      <w:tr w:rsidR="00FC6C68" w14:paraId="3C6521D3" w14:textId="77777777" w:rsidTr="00265956">
        <w:tc>
          <w:tcPr>
            <w:tcW w:w="4703" w:type="dxa"/>
            <w:tcBorders>
              <w:top w:val="single" w:sz="6" w:space="0" w:color="FFFFFF"/>
              <w:left w:val="single" w:sz="6" w:space="0" w:color="FFFFFF"/>
              <w:bottom w:val="single" w:sz="6" w:space="0" w:color="FFFFFF"/>
              <w:right w:val="single" w:sz="6" w:space="0" w:color="FFFFFF"/>
            </w:tcBorders>
            <w:shd w:val="clear" w:color="auto" w:fill="92D050"/>
          </w:tcPr>
          <w:p w14:paraId="5C298BB9" w14:textId="77777777" w:rsidR="00FC6C68" w:rsidRDefault="00000000">
            <w:pPr>
              <w:spacing w:before="120" w:after="120"/>
            </w:pPr>
            <w:r>
              <w:rPr>
                <w:rFonts w:ascii="Calibri" w:hAnsi="Calibri"/>
                <w:b/>
                <w:color w:val="0A1A2E"/>
                <w:sz w:val="20"/>
              </w:rPr>
              <w:t>Nmap Fundamentals</w:t>
            </w:r>
          </w:p>
        </w:tc>
        <w:tc>
          <w:tcPr>
            <w:tcW w:w="4703" w:type="dxa"/>
            <w:tcBorders>
              <w:top w:val="single" w:sz="6" w:space="0" w:color="FFFFFF"/>
              <w:left w:val="single" w:sz="6" w:space="0" w:color="FFFFFF"/>
              <w:bottom w:val="single" w:sz="6" w:space="0" w:color="FFFFFF"/>
              <w:right w:val="single" w:sz="6" w:space="0" w:color="FFFFFF"/>
            </w:tcBorders>
            <w:shd w:val="clear" w:color="auto" w:fill="92D050"/>
          </w:tcPr>
          <w:p w14:paraId="40E215A5" w14:textId="77777777" w:rsidR="00FC6C68" w:rsidRDefault="00000000">
            <w:pPr>
              <w:spacing w:before="120" w:after="120"/>
            </w:pPr>
            <w:r>
              <w:rPr>
                <w:rFonts w:ascii="Calibri" w:hAnsi="Calibri"/>
                <w:color w:val="1A1A2E"/>
                <w:sz w:val="20"/>
              </w:rPr>
              <w:t>Introduces Nmap — the industry-standard port scanner — covering scan types (SYN, TCP Connect, UDP, stealth), timing templates, output formats, and common flags. Learners interpret a pre-generated scan against a fictional target network in a guided simulation.</w:t>
            </w:r>
          </w:p>
        </w:tc>
      </w:tr>
      <w:tr w:rsidR="00FC6C68" w14:paraId="33D04035" w14:textId="77777777" w:rsidTr="00265956">
        <w:tc>
          <w:tcPr>
            <w:tcW w:w="4703" w:type="dxa"/>
            <w:tcBorders>
              <w:top w:val="single" w:sz="6" w:space="0" w:color="FFFFFF"/>
              <w:left w:val="single" w:sz="6" w:space="0" w:color="FFFFFF"/>
              <w:bottom w:val="single" w:sz="6" w:space="0" w:color="FFFFFF"/>
              <w:right w:val="single" w:sz="6" w:space="0" w:color="FFFFFF"/>
            </w:tcBorders>
            <w:shd w:val="clear" w:color="auto" w:fill="92D050"/>
          </w:tcPr>
          <w:p w14:paraId="0ECF6F0D" w14:textId="77777777" w:rsidR="00FC6C68" w:rsidRDefault="00000000">
            <w:pPr>
              <w:spacing w:before="120" w:after="120"/>
            </w:pPr>
            <w:r>
              <w:rPr>
                <w:rFonts w:ascii="Calibri" w:hAnsi="Calibri"/>
                <w:b/>
                <w:color w:val="0A1A2E"/>
                <w:sz w:val="20"/>
              </w:rPr>
              <w:t>Service &amp; Version Detection</w:t>
            </w:r>
          </w:p>
        </w:tc>
        <w:tc>
          <w:tcPr>
            <w:tcW w:w="4703" w:type="dxa"/>
            <w:tcBorders>
              <w:top w:val="single" w:sz="6" w:space="0" w:color="FFFFFF"/>
              <w:left w:val="single" w:sz="6" w:space="0" w:color="FFFFFF"/>
              <w:bottom w:val="single" w:sz="6" w:space="0" w:color="FFFFFF"/>
              <w:right w:val="single" w:sz="6" w:space="0" w:color="FFFFFF"/>
            </w:tcBorders>
            <w:shd w:val="clear" w:color="auto" w:fill="92D050"/>
          </w:tcPr>
          <w:p w14:paraId="46E3FF91" w14:textId="77777777" w:rsidR="00FC6C68" w:rsidRDefault="00000000">
            <w:pPr>
              <w:spacing w:before="120" w:after="120"/>
            </w:pPr>
            <w:r>
              <w:rPr>
                <w:rFonts w:ascii="Calibri" w:hAnsi="Calibri"/>
                <w:color w:val="1A1A2E"/>
                <w:sz w:val="20"/>
              </w:rPr>
              <w:t>Covers how to identify what software is running on each discovered port and extract version information. Explains why service fingerprinting is critical — the same open port can run dozens of different applications, each with different vulnerabilities.</w:t>
            </w:r>
          </w:p>
        </w:tc>
      </w:tr>
      <w:tr w:rsidR="00FC6C68" w14:paraId="74FDC8B2" w14:textId="77777777" w:rsidTr="00070AB6">
        <w:tc>
          <w:tcPr>
            <w:tcW w:w="4703" w:type="dxa"/>
            <w:tcBorders>
              <w:top w:val="single" w:sz="6" w:space="0" w:color="FFFFFF"/>
              <w:left w:val="single" w:sz="6" w:space="0" w:color="FFFFFF"/>
              <w:bottom w:val="single" w:sz="6" w:space="0" w:color="FFFFFF"/>
              <w:right w:val="single" w:sz="6" w:space="0" w:color="FFFFFF"/>
            </w:tcBorders>
            <w:shd w:val="clear" w:color="auto" w:fill="92D050"/>
          </w:tcPr>
          <w:p w14:paraId="573C059F" w14:textId="77777777" w:rsidR="00FC6C68" w:rsidRDefault="00000000">
            <w:pPr>
              <w:spacing w:before="120" w:after="120"/>
            </w:pPr>
            <w:r>
              <w:rPr>
                <w:rFonts w:ascii="Calibri" w:hAnsi="Calibri"/>
                <w:b/>
                <w:color w:val="0A1A2E"/>
                <w:sz w:val="20"/>
              </w:rPr>
              <w:t>Web Application Enumeration</w:t>
            </w:r>
          </w:p>
        </w:tc>
        <w:tc>
          <w:tcPr>
            <w:tcW w:w="4703" w:type="dxa"/>
            <w:tcBorders>
              <w:top w:val="single" w:sz="6" w:space="0" w:color="FFFFFF"/>
              <w:left w:val="single" w:sz="6" w:space="0" w:color="FFFFFF"/>
              <w:bottom w:val="single" w:sz="6" w:space="0" w:color="FFFFFF"/>
              <w:right w:val="single" w:sz="6" w:space="0" w:color="FFFFFF"/>
            </w:tcBorders>
            <w:shd w:val="clear" w:color="auto" w:fill="92D050"/>
          </w:tcPr>
          <w:p w14:paraId="34B092D5" w14:textId="77777777" w:rsidR="00FC6C68" w:rsidRDefault="00000000">
            <w:pPr>
              <w:spacing w:before="120" w:after="120"/>
            </w:pPr>
            <w:r>
              <w:rPr>
                <w:rFonts w:ascii="Calibri" w:hAnsi="Calibri"/>
                <w:color w:val="1A1A2E"/>
                <w:sz w:val="20"/>
              </w:rPr>
              <w:t>Focuses on mapping a web application's structure using directory brute-forcing concepts, identifying hidden endpoints, admin panels, backup files, and API routes not linked from the main site. Includes a PHP simulation of directory discovery against a fictional target.</w:t>
            </w:r>
          </w:p>
        </w:tc>
      </w:tr>
      <w:tr w:rsidR="00FC6C68" w14:paraId="3541A5ED" w14:textId="77777777" w:rsidTr="00070AB6">
        <w:tc>
          <w:tcPr>
            <w:tcW w:w="4703" w:type="dxa"/>
            <w:tcBorders>
              <w:top w:val="single" w:sz="6" w:space="0" w:color="FFFFFF"/>
              <w:left w:val="single" w:sz="6" w:space="0" w:color="FFFFFF"/>
              <w:bottom w:val="single" w:sz="6" w:space="0" w:color="FFFFFF"/>
              <w:right w:val="single" w:sz="6" w:space="0" w:color="FFFFFF"/>
            </w:tcBorders>
            <w:shd w:val="clear" w:color="auto" w:fill="92D050"/>
          </w:tcPr>
          <w:p w14:paraId="47095444" w14:textId="77777777" w:rsidR="00FC6C68" w:rsidRDefault="00000000">
            <w:pPr>
              <w:spacing w:before="120" w:after="120"/>
            </w:pPr>
            <w:r>
              <w:rPr>
                <w:rFonts w:ascii="Calibri" w:hAnsi="Calibri"/>
                <w:b/>
                <w:color w:val="0A1A2E"/>
                <w:sz w:val="20"/>
              </w:rPr>
              <w:t>Vulnerability Scanning Concepts</w:t>
            </w:r>
          </w:p>
        </w:tc>
        <w:tc>
          <w:tcPr>
            <w:tcW w:w="4703" w:type="dxa"/>
            <w:tcBorders>
              <w:top w:val="single" w:sz="6" w:space="0" w:color="FFFFFF"/>
              <w:left w:val="single" w:sz="6" w:space="0" w:color="FFFFFF"/>
              <w:bottom w:val="single" w:sz="6" w:space="0" w:color="FFFFFF"/>
              <w:right w:val="single" w:sz="6" w:space="0" w:color="FFFFFF"/>
            </w:tcBorders>
            <w:shd w:val="clear" w:color="auto" w:fill="92D050"/>
          </w:tcPr>
          <w:p w14:paraId="4BF29B6E" w14:textId="77777777" w:rsidR="00FC6C68" w:rsidRDefault="00000000">
            <w:pPr>
              <w:spacing w:before="120" w:after="120"/>
            </w:pPr>
            <w:r>
              <w:rPr>
                <w:rFonts w:ascii="Calibri" w:hAnsi="Calibri"/>
                <w:color w:val="1A1A2E"/>
                <w:sz w:val="20"/>
              </w:rPr>
              <w:t>Introduces vulnerability scanners (Nessus, OpenVAS, Nikto) and explains how they differ from exploitation tools. Covers how to interpret scan output, understand CVSS scores, and avoid treating a scanner report as a complete penetration test result.</w:t>
            </w:r>
          </w:p>
        </w:tc>
      </w:tr>
    </w:tbl>
    <w:p w14:paraId="32873C35" w14:textId="77777777" w:rsidR="00FC6C68" w:rsidRDefault="00FC6C68"/>
    <w:p w14:paraId="091D7F32" w14:textId="77777777" w:rsidR="00FC6C68" w:rsidRDefault="00000000">
      <w:pPr>
        <w:spacing w:before="360" w:after="80"/>
      </w:pPr>
      <w:r>
        <w:rPr>
          <w:rFonts w:ascii="Calibri" w:hAnsi="Calibri"/>
          <w:b/>
          <w:color w:val="0A1A2E"/>
          <w:sz w:val="36"/>
        </w:rPr>
        <w:t>Module 4: Web Application Penetration Testing</w:t>
      </w:r>
    </w:p>
    <w:p w14:paraId="4BA54EA5" w14:textId="77777777" w:rsidR="00FC6C68" w:rsidRDefault="00000000">
      <w:pPr>
        <w:spacing w:after="160"/>
      </w:pPr>
      <w:r>
        <w:rPr>
          <w:rFonts w:ascii="Calibri" w:hAnsi="Calibri"/>
          <w:i/>
          <w:color w:val="444466"/>
          <w:sz w:val="20"/>
        </w:rPr>
        <w:t>Web applications are the most common target in modern penetration tests. This module covers the OWASP Top 10 attack categories in depth, with a PHP-simulated practical for each major vulnerability class.</w:t>
      </w:r>
    </w:p>
    <w:tbl>
      <w:tblPr>
        <w:tblW w:w="0" w:type="auto"/>
        <w:tblLook w:val="04A0" w:firstRow="1" w:lastRow="0" w:firstColumn="1" w:lastColumn="0" w:noHBand="0" w:noVBand="1"/>
      </w:tblPr>
      <w:tblGrid>
        <w:gridCol w:w="4703"/>
        <w:gridCol w:w="4703"/>
      </w:tblGrid>
      <w:tr w:rsidR="00FC6C68" w14:paraId="65DAF294" w14:textId="77777777">
        <w:tc>
          <w:tcPr>
            <w:tcW w:w="4703" w:type="dxa"/>
            <w:tcBorders>
              <w:top w:val="single" w:sz="6" w:space="0" w:color="FFFFFF"/>
              <w:left w:val="single" w:sz="6" w:space="0" w:color="FFFFFF"/>
              <w:bottom w:val="single" w:sz="6" w:space="0" w:color="FFFFFF"/>
              <w:right w:val="single" w:sz="6" w:space="0" w:color="FFFFFF"/>
            </w:tcBorders>
            <w:shd w:val="clear" w:color="auto" w:fill="0A1A2E"/>
          </w:tcPr>
          <w:p w14:paraId="1FC6F399" w14:textId="77777777" w:rsidR="00FC6C68" w:rsidRDefault="00000000">
            <w:pPr>
              <w:spacing w:before="120" w:after="120"/>
            </w:pPr>
            <w:r>
              <w:rPr>
                <w:rFonts w:ascii="Calibri" w:hAnsi="Calibri"/>
                <w:b/>
                <w:color w:val="FFFFFF"/>
                <w:sz w:val="20"/>
              </w:rPr>
              <w:t>Room Name</w:t>
            </w:r>
          </w:p>
        </w:tc>
        <w:tc>
          <w:tcPr>
            <w:tcW w:w="4703" w:type="dxa"/>
            <w:tcBorders>
              <w:top w:val="single" w:sz="6" w:space="0" w:color="FFFFFF"/>
              <w:left w:val="single" w:sz="6" w:space="0" w:color="FFFFFF"/>
              <w:bottom w:val="single" w:sz="6" w:space="0" w:color="FFFFFF"/>
              <w:right w:val="single" w:sz="6" w:space="0" w:color="FFFFFF"/>
            </w:tcBorders>
            <w:shd w:val="clear" w:color="auto" w:fill="0A1A2E"/>
          </w:tcPr>
          <w:p w14:paraId="2E7BFE63" w14:textId="77777777" w:rsidR="00FC6C68" w:rsidRDefault="00000000">
            <w:pPr>
              <w:spacing w:before="120" w:after="120"/>
            </w:pPr>
            <w:r>
              <w:rPr>
                <w:rFonts w:ascii="Calibri" w:hAnsi="Calibri"/>
                <w:b/>
                <w:color w:val="FFFFFF"/>
                <w:sz w:val="20"/>
              </w:rPr>
              <w:t>Description</w:t>
            </w:r>
          </w:p>
        </w:tc>
      </w:tr>
      <w:tr w:rsidR="00FC6C68" w14:paraId="16757FE8" w14:textId="77777777" w:rsidTr="00A64C9D">
        <w:tc>
          <w:tcPr>
            <w:tcW w:w="4703" w:type="dxa"/>
            <w:tcBorders>
              <w:top w:val="single" w:sz="6" w:space="0" w:color="FFFFFF"/>
              <w:left w:val="single" w:sz="6" w:space="0" w:color="FFFFFF"/>
              <w:bottom w:val="single" w:sz="6" w:space="0" w:color="FFFFFF"/>
              <w:right w:val="single" w:sz="6" w:space="0" w:color="FFFFFF"/>
            </w:tcBorders>
            <w:shd w:val="clear" w:color="auto" w:fill="92D050"/>
          </w:tcPr>
          <w:p w14:paraId="1B991712" w14:textId="77777777" w:rsidR="00FC6C68" w:rsidRDefault="00000000">
            <w:pPr>
              <w:spacing w:before="120" w:after="120"/>
            </w:pPr>
            <w:r>
              <w:rPr>
                <w:rFonts w:ascii="Calibri" w:hAnsi="Calibri"/>
                <w:b/>
                <w:color w:val="0A1A2E"/>
                <w:sz w:val="20"/>
              </w:rPr>
              <w:t>Web Application Architecture</w:t>
            </w:r>
          </w:p>
        </w:tc>
        <w:tc>
          <w:tcPr>
            <w:tcW w:w="4703" w:type="dxa"/>
            <w:tcBorders>
              <w:top w:val="single" w:sz="6" w:space="0" w:color="FFFFFF"/>
              <w:left w:val="single" w:sz="6" w:space="0" w:color="FFFFFF"/>
              <w:bottom w:val="single" w:sz="6" w:space="0" w:color="FFFFFF"/>
              <w:right w:val="single" w:sz="6" w:space="0" w:color="FFFFFF"/>
            </w:tcBorders>
            <w:shd w:val="clear" w:color="auto" w:fill="92D050"/>
          </w:tcPr>
          <w:p w14:paraId="5B16D851" w14:textId="77777777" w:rsidR="00FC6C68" w:rsidRDefault="00000000">
            <w:pPr>
              <w:spacing w:before="120" w:after="120"/>
            </w:pPr>
            <w:r>
              <w:rPr>
                <w:rFonts w:ascii="Calibri" w:hAnsi="Calibri"/>
                <w:color w:val="1A1A2E"/>
                <w:sz w:val="20"/>
              </w:rPr>
              <w:t xml:space="preserve">Explains how web applications work: HTTP request/response cycle, client-server model, cookies, sessions, and the role of databases. Covers the components a pentester interacts with and where </w:t>
            </w:r>
            <w:r>
              <w:rPr>
                <w:rFonts w:ascii="Calibri" w:hAnsi="Calibri"/>
                <w:color w:val="1A1A2E"/>
                <w:sz w:val="20"/>
              </w:rPr>
              <w:lastRenderedPageBreak/>
              <w:t>each introduces security risk.</w:t>
            </w:r>
          </w:p>
        </w:tc>
      </w:tr>
      <w:tr w:rsidR="00FC6C68" w14:paraId="357622B9" w14:textId="77777777" w:rsidTr="00231725">
        <w:tc>
          <w:tcPr>
            <w:tcW w:w="4703" w:type="dxa"/>
            <w:tcBorders>
              <w:top w:val="single" w:sz="6" w:space="0" w:color="FFFFFF"/>
              <w:left w:val="single" w:sz="6" w:space="0" w:color="FFFFFF"/>
              <w:bottom w:val="single" w:sz="6" w:space="0" w:color="FFFFFF"/>
              <w:right w:val="single" w:sz="6" w:space="0" w:color="FFFFFF"/>
            </w:tcBorders>
            <w:shd w:val="clear" w:color="auto" w:fill="92D050"/>
          </w:tcPr>
          <w:p w14:paraId="34B8B103" w14:textId="77777777" w:rsidR="00FC6C68" w:rsidRDefault="00000000">
            <w:pPr>
              <w:spacing w:before="120" w:after="120"/>
            </w:pPr>
            <w:r>
              <w:rPr>
                <w:rFonts w:ascii="Calibri" w:hAnsi="Calibri"/>
                <w:b/>
                <w:color w:val="0A1A2E"/>
                <w:sz w:val="20"/>
              </w:rPr>
              <w:lastRenderedPageBreak/>
              <w:t>SQL Injection</w:t>
            </w:r>
          </w:p>
        </w:tc>
        <w:tc>
          <w:tcPr>
            <w:tcW w:w="4703" w:type="dxa"/>
            <w:tcBorders>
              <w:top w:val="single" w:sz="6" w:space="0" w:color="FFFFFF"/>
              <w:left w:val="single" w:sz="6" w:space="0" w:color="FFFFFF"/>
              <w:bottom w:val="single" w:sz="6" w:space="0" w:color="FFFFFF"/>
              <w:right w:val="single" w:sz="6" w:space="0" w:color="FFFFFF"/>
            </w:tcBorders>
            <w:shd w:val="clear" w:color="auto" w:fill="92D050"/>
          </w:tcPr>
          <w:p w14:paraId="2C6B8FBD" w14:textId="77777777" w:rsidR="00FC6C68" w:rsidRDefault="00000000">
            <w:pPr>
              <w:spacing w:before="120" w:after="120"/>
            </w:pPr>
            <w:r>
              <w:rPr>
                <w:rFonts w:ascii="Calibri" w:hAnsi="Calibri"/>
                <w:color w:val="1A1A2E"/>
                <w:sz w:val="20"/>
              </w:rPr>
              <w:t>Teaches how SQL injection breaks out of the intended query structure to manipulate the database. Covers error-based, blind, and time-based SQLi. Learners extract data from a vulnerable login form using progressively complex injection payloads in a PHP simulation.</w:t>
            </w:r>
          </w:p>
        </w:tc>
      </w:tr>
      <w:tr w:rsidR="00FC6C68" w14:paraId="2E6951D2" w14:textId="77777777" w:rsidTr="00231725">
        <w:tc>
          <w:tcPr>
            <w:tcW w:w="4703" w:type="dxa"/>
            <w:tcBorders>
              <w:top w:val="single" w:sz="6" w:space="0" w:color="FFFFFF"/>
              <w:left w:val="single" w:sz="6" w:space="0" w:color="FFFFFF"/>
              <w:bottom w:val="single" w:sz="6" w:space="0" w:color="FFFFFF"/>
              <w:right w:val="single" w:sz="6" w:space="0" w:color="FFFFFF"/>
            </w:tcBorders>
            <w:shd w:val="clear" w:color="auto" w:fill="92D050"/>
          </w:tcPr>
          <w:p w14:paraId="101EDD9D" w14:textId="77777777" w:rsidR="00FC6C68" w:rsidRDefault="00000000">
            <w:pPr>
              <w:spacing w:before="120" w:after="120"/>
            </w:pPr>
            <w:r>
              <w:rPr>
                <w:rFonts w:ascii="Calibri" w:hAnsi="Calibri"/>
                <w:b/>
                <w:color w:val="0A1A2E"/>
                <w:sz w:val="20"/>
              </w:rPr>
              <w:t>Cross-Site Scripting (XSS)</w:t>
            </w:r>
          </w:p>
        </w:tc>
        <w:tc>
          <w:tcPr>
            <w:tcW w:w="4703" w:type="dxa"/>
            <w:tcBorders>
              <w:top w:val="single" w:sz="6" w:space="0" w:color="FFFFFF"/>
              <w:left w:val="single" w:sz="6" w:space="0" w:color="FFFFFF"/>
              <w:bottom w:val="single" w:sz="6" w:space="0" w:color="FFFFFF"/>
              <w:right w:val="single" w:sz="6" w:space="0" w:color="FFFFFF"/>
            </w:tcBorders>
            <w:shd w:val="clear" w:color="auto" w:fill="92D050"/>
          </w:tcPr>
          <w:p w14:paraId="0B2891AD" w14:textId="77777777" w:rsidR="00FC6C68" w:rsidRDefault="00000000">
            <w:pPr>
              <w:spacing w:before="120" w:after="120"/>
            </w:pPr>
            <w:r>
              <w:rPr>
                <w:rFonts w:ascii="Calibri" w:hAnsi="Calibri"/>
                <w:color w:val="1A1A2E"/>
                <w:sz w:val="20"/>
              </w:rPr>
              <w:t>Explains reflected, stored, and DOM-based XSS and how each is exploited to steal session cookies or redirect victims. Includes a PHP simulation where learners inject and trigger payloads in a simulated comment field.</w:t>
            </w:r>
          </w:p>
        </w:tc>
      </w:tr>
      <w:tr w:rsidR="00FC6C68" w14:paraId="67F06263" w14:textId="77777777" w:rsidTr="00231725">
        <w:tc>
          <w:tcPr>
            <w:tcW w:w="4703" w:type="dxa"/>
            <w:tcBorders>
              <w:top w:val="single" w:sz="6" w:space="0" w:color="FFFFFF"/>
              <w:left w:val="single" w:sz="6" w:space="0" w:color="FFFFFF"/>
              <w:bottom w:val="single" w:sz="6" w:space="0" w:color="FFFFFF"/>
              <w:right w:val="single" w:sz="6" w:space="0" w:color="FFFFFF"/>
            </w:tcBorders>
            <w:shd w:val="clear" w:color="auto" w:fill="92D050"/>
          </w:tcPr>
          <w:p w14:paraId="1974B311" w14:textId="77777777" w:rsidR="00FC6C68" w:rsidRDefault="00000000">
            <w:pPr>
              <w:spacing w:before="120" w:after="120"/>
            </w:pPr>
            <w:r>
              <w:rPr>
                <w:rFonts w:ascii="Calibri" w:hAnsi="Calibri"/>
                <w:b/>
                <w:color w:val="0A1A2E"/>
                <w:sz w:val="20"/>
              </w:rPr>
              <w:t>Authentication &amp; Session Attacks</w:t>
            </w:r>
          </w:p>
        </w:tc>
        <w:tc>
          <w:tcPr>
            <w:tcW w:w="4703" w:type="dxa"/>
            <w:tcBorders>
              <w:top w:val="single" w:sz="6" w:space="0" w:color="FFFFFF"/>
              <w:left w:val="single" w:sz="6" w:space="0" w:color="FFFFFF"/>
              <w:bottom w:val="single" w:sz="6" w:space="0" w:color="FFFFFF"/>
              <w:right w:val="single" w:sz="6" w:space="0" w:color="FFFFFF"/>
            </w:tcBorders>
            <w:shd w:val="clear" w:color="auto" w:fill="92D050"/>
          </w:tcPr>
          <w:p w14:paraId="2D065B7C" w14:textId="77777777" w:rsidR="00FC6C68" w:rsidRDefault="00000000">
            <w:pPr>
              <w:spacing w:before="120" w:after="120"/>
            </w:pPr>
            <w:r>
              <w:rPr>
                <w:rFonts w:ascii="Calibri" w:hAnsi="Calibri"/>
                <w:color w:val="1A1A2E"/>
                <w:sz w:val="20"/>
              </w:rPr>
              <w:t>Covers attacks against login mechanisms: brute force, credential stuffing, default credentials, weak lockout policies, and insecure session tokens. Learners test a vulnerable PHP authentication system for multiple weaknesses simultaneously.</w:t>
            </w:r>
          </w:p>
        </w:tc>
      </w:tr>
      <w:tr w:rsidR="00FC6C68" w14:paraId="6BEB0E9E" w14:textId="77777777" w:rsidTr="00231725">
        <w:tc>
          <w:tcPr>
            <w:tcW w:w="4703" w:type="dxa"/>
            <w:tcBorders>
              <w:top w:val="single" w:sz="6" w:space="0" w:color="FFFFFF"/>
              <w:left w:val="single" w:sz="6" w:space="0" w:color="FFFFFF"/>
              <w:bottom w:val="single" w:sz="6" w:space="0" w:color="FFFFFF"/>
              <w:right w:val="single" w:sz="6" w:space="0" w:color="FFFFFF"/>
            </w:tcBorders>
            <w:shd w:val="clear" w:color="auto" w:fill="92D050"/>
          </w:tcPr>
          <w:p w14:paraId="0BFB4E9A" w14:textId="77777777" w:rsidR="00FC6C68" w:rsidRDefault="00000000">
            <w:pPr>
              <w:spacing w:before="120" w:after="120"/>
            </w:pPr>
            <w:r>
              <w:rPr>
                <w:rFonts w:ascii="Calibri" w:hAnsi="Calibri"/>
                <w:b/>
                <w:color w:val="0A1A2E"/>
                <w:sz w:val="20"/>
              </w:rPr>
              <w:t>Directory Traversal &amp; File Inclusion</w:t>
            </w:r>
          </w:p>
        </w:tc>
        <w:tc>
          <w:tcPr>
            <w:tcW w:w="4703" w:type="dxa"/>
            <w:tcBorders>
              <w:top w:val="single" w:sz="6" w:space="0" w:color="FFFFFF"/>
              <w:left w:val="single" w:sz="6" w:space="0" w:color="FFFFFF"/>
              <w:bottom w:val="single" w:sz="6" w:space="0" w:color="FFFFFF"/>
              <w:right w:val="single" w:sz="6" w:space="0" w:color="FFFFFF"/>
            </w:tcBorders>
            <w:shd w:val="clear" w:color="auto" w:fill="92D050"/>
          </w:tcPr>
          <w:p w14:paraId="43032D3B" w14:textId="77777777" w:rsidR="00FC6C68" w:rsidRDefault="00000000">
            <w:pPr>
              <w:spacing w:before="120" w:after="120"/>
            </w:pPr>
            <w:r>
              <w:rPr>
                <w:rFonts w:ascii="Calibri" w:hAnsi="Calibri"/>
                <w:color w:val="1A1A2E"/>
                <w:sz w:val="20"/>
              </w:rPr>
              <w:t>Explains how path traversal attacks allow reading files outside the web root and how LFI/RFI can lead to code execution. Includes a simulation demonstrating how improper input sanitisation exposes server-side files to unauthenticated users.</w:t>
            </w:r>
          </w:p>
        </w:tc>
      </w:tr>
      <w:tr w:rsidR="00FC6C68" w14:paraId="10C74ABB" w14:textId="77777777" w:rsidTr="00231725">
        <w:tc>
          <w:tcPr>
            <w:tcW w:w="4703" w:type="dxa"/>
            <w:tcBorders>
              <w:top w:val="single" w:sz="6" w:space="0" w:color="FFFFFF"/>
              <w:left w:val="single" w:sz="6" w:space="0" w:color="FFFFFF"/>
              <w:bottom w:val="single" w:sz="6" w:space="0" w:color="FFFFFF"/>
              <w:right w:val="single" w:sz="6" w:space="0" w:color="FFFFFF"/>
            </w:tcBorders>
            <w:shd w:val="clear" w:color="auto" w:fill="92D050"/>
          </w:tcPr>
          <w:p w14:paraId="339CA99A" w14:textId="77777777" w:rsidR="00FC6C68" w:rsidRDefault="00000000">
            <w:pPr>
              <w:spacing w:before="120" w:after="120"/>
            </w:pPr>
            <w:r>
              <w:rPr>
                <w:rFonts w:ascii="Calibri" w:hAnsi="Calibri"/>
                <w:b/>
                <w:color w:val="0A1A2E"/>
                <w:sz w:val="20"/>
              </w:rPr>
              <w:t>Command Injection</w:t>
            </w:r>
          </w:p>
        </w:tc>
        <w:tc>
          <w:tcPr>
            <w:tcW w:w="4703" w:type="dxa"/>
            <w:tcBorders>
              <w:top w:val="single" w:sz="6" w:space="0" w:color="FFFFFF"/>
              <w:left w:val="single" w:sz="6" w:space="0" w:color="FFFFFF"/>
              <w:bottom w:val="single" w:sz="6" w:space="0" w:color="FFFFFF"/>
              <w:right w:val="single" w:sz="6" w:space="0" w:color="FFFFFF"/>
            </w:tcBorders>
            <w:shd w:val="clear" w:color="auto" w:fill="92D050"/>
          </w:tcPr>
          <w:p w14:paraId="1C23497F" w14:textId="77777777" w:rsidR="00FC6C68" w:rsidRDefault="00000000">
            <w:pPr>
              <w:spacing w:before="120" w:after="120"/>
            </w:pPr>
            <w:r>
              <w:rPr>
                <w:rFonts w:ascii="Calibri" w:hAnsi="Calibri"/>
                <w:color w:val="1A1A2E"/>
                <w:sz w:val="20"/>
              </w:rPr>
              <w:t>Covers how web applications passing user input directly to OS commands can be exploited. Learners work through a PHP-simulated ping utility that is vulnerable to command chaining, learning to identify and test injection points systematically.</w:t>
            </w:r>
          </w:p>
        </w:tc>
      </w:tr>
      <w:tr w:rsidR="00FC6C68" w14:paraId="2F31720B" w14:textId="77777777" w:rsidTr="00231725">
        <w:tc>
          <w:tcPr>
            <w:tcW w:w="4703" w:type="dxa"/>
            <w:tcBorders>
              <w:top w:val="single" w:sz="6" w:space="0" w:color="FFFFFF"/>
              <w:left w:val="single" w:sz="6" w:space="0" w:color="FFFFFF"/>
              <w:bottom w:val="single" w:sz="6" w:space="0" w:color="FFFFFF"/>
              <w:right w:val="single" w:sz="6" w:space="0" w:color="FFFFFF"/>
            </w:tcBorders>
            <w:shd w:val="clear" w:color="auto" w:fill="92D050"/>
          </w:tcPr>
          <w:p w14:paraId="488AA73F" w14:textId="77777777" w:rsidR="00FC6C68" w:rsidRDefault="00000000">
            <w:pPr>
              <w:spacing w:before="120" w:after="120"/>
            </w:pPr>
            <w:r>
              <w:rPr>
                <w:rFonts w:ascii="Calibri" w:hAnsi="Calibri"/>
                <w:b/>
                <w:color w:val="0A1A2E"/>
                <w:sz w:val="20"/>
              </w:rPr>
              <w:t>Insecure Direct Object References (IDOR)</w:t>
            </w:r>
          </w:p>
        </w:tc>
        <w:tc>
          <w:tcPr>
            <w:tcW w:w="4703" w:type="dxa"/>
            <w:tcBorders>
              <w:top w:val="single" w:sz="6" w:space="0" w:color="FFFFFF"/>
              <w:left w:val="single" w:sz="6" w:space="0" w:color="FFFFFF"/>
              <w:bottom w:val="single" w:sz="6" w:space="0" w:color="FFFFFF"/>
              <w:right w:val="single" w:sz="6" w:space="0" w:color="FFFFFF"/>
            </w:tcBorders>
            <w:shd w:val="clear" w:color="auto" w:fill="92D050"/>
          </w:tcPr>
          <w:p w14:paraId="0A3F0863" w14:textId="77777777" w:rsidR="00FC6C68" w:rsidRDefault="00000000">
            <w:pPr>
              <w:spacing w:before="120" w:after="120"/>
            </w:pPr>
            <w:r>
              <w:rPr>
                <w:rFonts w:ascii="Calibri" w:hAnsi="Calibri"/>
                <w:color w:val="1A1A2E"/>
                <w:sz w:val="20"/>
              </w:rPr>
              <w:t>Teaches learners to identify and exploit IDOR vulnerabilities where changing a parameter value grants access to another user's data. Covers horizontal vs vertical privilege escalation through broken access control with a simulated account management portal.</w:t>
            </w:r>
          </w:p>
        </w:tc>
      </w:tr>
      <w:tr w:rsidR="00FC6C68" w14:paraId="494A3C6E" w14:textId="77777777" w:rsidTr="004F7D20">
        <w:tc>
          <w:tcPr>
            <w:tcW w:w="4703" w:type="dxa"/>
            <w:tcBorders>
              <w:top w:val="single" w:sz="6" w:space="0" w:color="FFFFFF"/>
              <w:left w:val="single" w:sz="6" w:space="0" w:color="FFFFFF"/>
              <w:bottom w:val="single" w:sz="6" w:space="0" w:color="FFFFFF"/>
              <w:right w:val="single" w:sz="6" w:space="0" w:color="FFFFFF"/>
            </w:tcBorders>
            <w:shd w:val="clear" w:color="auto" w:fill="92D050"/>
          </w:tcPr>
          <w:p w14:paraId="16F0CCB1" w14:textId="77777777" w:rsidR="00FC6C68" w:rsidRDefault="00000000">
            <w:pPr>
              <w:spacing w:before="120" w:after="120"/>
            </w:pPr>
            <w:r>
              <w:rPr>
                <w:rFonts w:ascii="Calibri" w:hAnsi="Calibri"/>
                <w:b/>
                <w:color w:val="0A1A2E"/>
                <w:sz w:val="20"/>
              </w:rPr>
              <w:t>XXE &amp; Server-Side Request Forgery (SSRF)</w:t>
            </w:r>
          </w:p>
        </w:tc>
        <w:tc>
          <w:tcPr>
            <w:tcW w:w="4703" w:type="dxa"/>
            <w:tcBorders>
              <w:top w:val="single" w:sz="6" w:space="0" w:color="FFFFFF"/>
              <w:left w:val="single" w:sz="6" w:space="0" w:color="FFFFFF"/>
              <w:bottom w:val="single" w:sz="6" w:space="0" w:color="FFFFFF"/>
              <w:right w:val="single" w:sz="6" w:space="0" w:color="FFFFFF"/>
            </w:tcBorders>
            <w:shd w:val="clear" w:color="auto" w:fill="92D050"/>
          </w:tcPr>
          <w:p w14:paraId="2EE95AB9" w14:textId="77777777" w:rsidR="00FC6C68" w:rsidRDefault="00000000">
            <w:pPr>
              <w:spacing w:before="120" w:after="120"/>
            </w:pPr>
            <w:r>
              <w:rPr>
                <w:rFonts w:ascii="Calibri" w:hAnsi="Calibri"/>
                <w:color w:val="1A1A2E"/>
                <w:sz w:val="20"/>
              </w:rPr>
              <w:t>Introduces XML External Entity (XXE) attacks against parsers that allow file disclosure, and SSRF that tricks the server into making requests to internal resources. Explains how both are commonly found in APIs and document upload features.</w:t>
            </w:r>
          </w:p>
        </w:tc>
      </w:tr>
    </w:tbl>
    <w:p w14:paraId="3FFD1DE7" w14:textId="77777777" w:rsidR="00FC6C68" w:rsidRDefault="00FC6C68"/>
    <w:p w14:paraId="6C710DDE" w14:textId="77777777" w:rsidR="00FC6C68" w:rsidRDefault="00000000">
      <w:pPr>
        <w:spacing w:before="360" w:after="80"/>
      </w:pPr>
      <w:r>
        <w:rPr>
          <w:rFonts w:ascii="Calibri" w:hAnsi="Calibri"/>
          <w:b/>
          <w:color w:val="0A1A2E"/>
          <w:sz w:val="36"/>
        </w:rPr>
        <w:t>Module 5: Network Attacks &amp; Exploitation</w:t>
      </w:r>
    </w:p>
    <w:p w14:paraId="482DED84" w14:textId="77777777" w:rsidR="00FC6C68" w:rsidRDefault="00000000">
      <w:pPr>
        <w:spacing w:after="160"/>
      </w:pPr>
      <w:r>
        <w:rPr>
          <w:rFonts w:ascii="Calibri" w:hAnsi="Calibri"/>
          <w:i/>
          <w:color w:val="444466"/>
          <w:sz w:val="20"/>
        </w:rPr>
        <w:lastRenderedPageBreak/>
        <w:t>Moves beyond web applications into network-level attacks. Learners discover how attackers exploit protocols, intercept traffic, and abuse trusted network relationships to move laterally through an organisation's infrastructure.</w:t>
      </w:r>
    </w:p>
    <w:tbl>
      <w:tblPr>
        <w:tblW w:w="0" w:type="auto"/>
        <w:tblLook w:val="04A0" w:firstRow="1" w:lastRow="0" w:firstColumn="1" w:lastColumn="0" w:noHBand="0" w:noVBand="1"/>
      </w:tblPr>
      <w:tblGrid>
        <w:gridCol w:w="4703"/>
        <w:gridCol w:w="4703"/>
      </w:tblGrid>
      <w:tr w:rsidR="00FC6C68" w14:paraId="3F5D9E8C" w14:textId="77777777">
        <w:tc>
          <w:tcPr>
            <w:tcW w:w="4703" w:type="dxa"/>
            <w:tcBorders>
              <w:top w:val="single" w:sz="6" w:space="0" w:color="FFFFFF"/>
              <w:left w:val="single" w:sz="6" w:space="0" w:color="FFFFFF"/>
              <w:bottom w:val="single" w:sz="6" w:space="0" w:color="FFFFFF"/>
              <w:right w:val="single" w:sz="6" w:space="0" w:color="FFFFFF"/>
            </w:tcBorders>
            <w:shd w:val="clear" w:color="auto" w:fill="0A1A2E"/>
          </w:tcPr>
          <w:p w14:paraId="24FDC223" w14:textId="77777777" w:rsidR="00FC6C68" w:rsidRDefault="00000000">
            <w:pPr>
              <w:spacing w:before="120" w:after="120"/>
            </w:pPr>
            <w:r>
              <w:rPr>
                <w:rFonts w:ascii="Calibri" w:hAnsi="Calibri"/>
                <w:b/>
                <w:color w:val="FFFFFF"/>
                <w:sz w:val="20"/>
              </w:rPr>
              <w:t>Room Name</w:t>
            </w:r>
          </w:p>
        </w:tc>
        <w:tc>
          <w:tcPr>
            <w:tcW w:w="4703" w:type="dxa"/>
            <w:tcBorders>
              <w:top w:val="single" w:sz="6" w:space="0" w:color="FFFFFF"/>
              <w:left w:val="single" w:sz="6" w:space="0" w:color="FFFFFF"/>
              <w:bottom w:val="single" w:sz="6" w:space="0" w:color="FFFFFF"/>
              <w:right w:val="single" w:sz="6" w:space="0" w:color="FFFFFF"/>
            </w:tcBorders>
            <w:shd w:val="clear" w:color="auto" w:fill="0A1A2E"/>
          </w:tcPr>
          <w:p w14:paraId="360D82BF" w14:textId="77777777" w:rsidR="00FC6C68" w:rsidRDefault="00000000">
            <w:pPr>
              <w:spacing w:before="120" w:after="120"/>
            </w:pPr>
            <w:r>
              <w:rPr>
                <w:rFonts w:ascii="Calibri" w:hAnsi="Calibri"/>
                <w:b/>
                <w:color w:val="FFFFFF"/>
                <w:sz w:val="20"/>
              </w:rPr>
              <w:t>Description</w:t>
            </w:r>
          </w:p>
        </w:tc>
      </w:tr>
      <w:tr w:rsidR="00FC6C68" w14:paraId="298E93C5" w14:textId="77777777" w:rsidTr="004F7D20">
        <w:tc>
          <w:tcPr>
            <w:tcW w:w="4703" w:type="dxa"/>
            <w:tcBorders>
              <w:top w:val="single" w:sz="6" w:space="0" w:color="FFFFFF"/>
              <w:left w:val="single" w:sz="6" w:space="0" w:color="FFFFFF"/>
              <w:bottom w:val="single" w:sz="6" w:space="0" w:color="FFFFFF"/>
              <w:right w:val="single" w:sz="6" w:space="0" w:color="FFFFFF"/>
            </w:tcBorders>
            <w:shd w:val="clear" w:color="auto" w:fill="92D050"/>
          </w:tcPr>
          <w:p w14:paraId="05982D71" w14:textId="77777777" w:rsidR="00FC6C68" w:rsidRDefault="00000000">
            <w:pPr>
              <w:spacing w:before="120" w:after="120"/>
            </w:pPr>
            <w:r>
              <w:rPr>
                <w:rFonts w:ascii="Calibri" w:hAnsi="Calibri"/>
                <w:b/>
                <w:color w:val="0A1A2E"/>
                <w:sz w:val="20"/>
              </w:rPr>
              <w:t>Network Protocols for Pentesters</w:t>
            </w:r>
          </w:p>
        </w:tc>
        <w:tc>
          <w:tcPr>
            <w:tcW w:w="4703" w:type="dxa"/>
            <w:tcBorders>
              <w:top w:val="single" w:sz="6" w:space="0" w:color="FFFFFF"/>
              <w:left w:val="single" w:sz="6" w:space="0" w:color="FFFFFF"/>
              <w:bottom w:val="single" w:sz="6" w:space="0" w:color="FFFFFF"/>
              <w:right w:val="single" w:sz="6" w:space="0" w:color="FFFFFF"/>
            </w:tcBorders>
            <w:shd w:val="clear" w:color="auto" w:fill="92D050"/>
          </w:tcPr>
          <w:p w14:paraId="3A13ED97" w14:textId="77777777" w:rsidR="00FC6C68" w:rsidRDefault="00000000">
            <w:pPr>
              <w:spacing w:before="120" w:after="120"/>
            </w:pPr>
            <w:r>
              <w:rPr>
                <w:rFonts w:ascii="Calibri" w:hAnsi="Calibri"/>
                <w:color w:val="1A1A2E"/>
                <w:sz w:val="20"/>
              </w:rPr>
              <w:t>A targeted review of protocols most relevant to network pentesting: SMB, RDP, FTP, Telnet, SNMP, SSH, and NetBIOS. Covers what each protocol does, what port it runs on, and the most common misconfigurations and vulnerabilities associated with each.</w:t>
            </w:r>
          </w:p>
        </w:tc>
      </w:tr>
      <w:tr w:rsidR="00FC6C68" w14:paraId="205B7E48" w14:textId="77777777" w:rsidTr="004F7D20">
        <w:tc>
          <w:tcPr>
            <w:tcW w:w="4703" w:type="dxa"/>
            <w:tcBorders>
              <w:top w:val="single" w:sz="6" w:space="0" w:color="FFFFFF"/>
              <w:left w:val="single" w:sz="6" w:space="0" w:color="FFFFFF"/>
              <w:bottom w:val="single" w:sz="6" w:space="0" w:color="FFFFFF"/>
              <w:right w:val="single" w:sz="6" w:space="0" w:color="FFFFFF"/>
            </w:tcBorders>
            <w:shd w:val="clear" w:color="auto" w:fill="92D050"/>
          </w:tcPr>
          <w:p w14:paraId="5DC7C535" w14:textId="77777777" w:rsidR="00FC6C68" w:rsidRDefault="00000000">
            <w:pPr>
              <w:spacing w:before="120" w:after="120"/>
            </w:pPr>
            <w:r>
              <w:rPr>
                <w:rFonts w:ascii="Calibri" w:hAnsi="Calibri"/>
                <w:b/>
                <w:color w:val="0A1A2E"/>
                <w:sz w:val="20"/>
              </w:rPr>
              <w:t>Man-in-the-Middle Attacks</w:t>
            </w:r>
          </w:p>
        </w:tc>
        <w:tc>
          <w:tcPr>
            <w:tcW w:w="4703" w:type="dxa"/>
            <w:tcBorders>
              <w:top w:val="single" w:sz="6" w:space="0" w:color="FFFFFF"/>
              <w:left w:val="single" w:sz="6" w:space="0" w:color="FFFFFF"/>
              <w:bottom w:val="single" w:sz="6" w:space="0" w:color="FFFFFF"/>
              <w:right w:val="single" w:sz="6" w:space="0" w:color="FFFFFF"/>
            </w:tcBorders>
            <w:shd w:val="clear" w:color="auto" w:fill="92D050"/>
          </w:tcPr>
          <w:p w14:paraId="53E55785" w14:textId="77777777" w:rsidR="00FC6C68" w:rsidRDefault="00000000">
            <w:pPr>
              <w:spacing w:before="120" w:after="120"/>
            </w:pPr>
            <w:r>
              <w:rPr>
                <w:rFonts w:ascii="Calibri" w:hAnsi="Calibri"/>
                <w:color w:val="1A1A2E"/>
                <w:sz w:val="20"/>
              </w:rPr>
              <w:t>Explains ARP poisoning, DNS spoofing, and how attackers position themselves between communicating parties to intercept or modify traffic. Covers why HTTPS and certificate pinning mitigate these attacks and what indicators of compromise look like on the network.</w:t>
            </w:r>
          </w:p>
        </w:tc>
      </w:tr>
      <w:tr w:rsidR="00FC6C68" w14:paraId="214ED4DC" w14:textId="77777777" w:rsidTr="004F7D20">
        <w:tc>
          <w:tcPr>
            <w:tcW w:w="4703" w:type="dxa"/>
            <w:tcBorders>
              <w:top w:val="single" w:sz="6" w:space="0" w:color="FFFFFF"/>
              <w:left w:val="single" w:sz="6" w:space="0" w:color="FFFFFF"/>
              <w:bottom w:val="single" w:sz="6" w:space="0" w:color="FFFFFF"/>
              <w:right w:val="single" w:sz="6" w:space="0" w:color="FFFFFF"/>
            </w:tcBorders>
            <w:shd w:val="clear" w:color="auto" w:fill="92D050"/>
          </w:tcPr>
          <w:p w14:paraId="71085862" w14:textId="77777777" w:rsidR="00FC6C68" w:rsidRDefault="00000000">
            <w:pPr>
              <w:spacing w:before="120" w:after="120"/>
            </w:pPr>
            <w:r>
              <w:rPr>
                <w:rFonts w:ascii="Calibri" w:hAnsi="Calibri"/>
                <w:b/>
                <w:color w:val="0A1A2E"/>
                <w:sz w:val="20"/>
              </w:rPr>
              <w:t>SMB Exploitation Basics</w:t>
            </w:r>
          </w:p>
        </w:tc>
        <w:tc>
          <w:tcPr>
            <w:tcW w:w="4703" w:type="dxa"/>
            <w:tcBorders>
              <w:top w:val="single" w:sz="6" w:space="0" w:color="FFFFFF"/>
              <w:left w:val="single" w:sz="6" w:space="0" w:color="FFFFFF"/>
              <w:bottom w:val="single" w:sz="6" w:space="0" w:color="FFFFFF"/>
              <w:right w:val="single" w:sz="6" w:space="0" w:color="FFFFFF"/>
            </w:tcBorders>
            <w:shd w:val="clear" w:color="auto" w:fill="92D050"/>
          </w:tcPr>
          <w:p w14:paraId="6833ABB3" w14:textId="77777777" w:rsidR="00FC6C68" w:rsidRDefault="00000000">
            <w:pPr>
              <w:spacing w:before="120" w:after="120"/>
            </w:pPr>
            <w:r>
              <w:rPr>
                <w:rFonts w:ascii="Calibri" w:hAnsi="Calibri"/>
                <w:color w:val="1A1A2E"/>
                <w:sz w:val="20"/>
              </w:rPr>
              <w:t>Covers the anatomy of SMB vulnerabilities including EternalBlue (MS17-010), null sessions, and anonymous share enumeration. Includes a PHP simulation of enumerating a share listing and identifying exposed sensitive files.</w:t>
            </w:r>
          </w:p>
        </w:tc>
      </w:tr>
      <w:tr w:rsidR="00FC6C68" w14:paraId="07BC3F46" w14:textId="77777777" w:rsidTr="004F7D20">
        <w:tc>
          <w:tcPr>
            <w:tcW w:w="4703" w:type="dxa"/>
            <w:tcBorders>
              <w:top w:val="single" w:sz="6" w:space="0" w:color="FFFFFF"/>
              <w:left w:val="single" w:sz="6" w:space="0" w:color="FFFFFF"/>
              <w:bottom w:val="single" w:sz="6" w:space="0" w:color="FFFFFF"/>
              <w:right w:val="single" w:sz="6" w:space="0" w:color="FFFFFF"/>
            </w:tcBorders>
            <w:shd w:val="clear" w:color="auto" w:fill="92D050"/>
          </w:tcPr>
          <w:p w14:paraId="6848C5CD" w14:textId="77777777" w:rsidR="00FC6C68" w:rsidRDefault="00000000">
            <w:pPr>
              <w:spacing w:before="120" w:after="120"/>
            </w:pPr>
            <w:r>
              <w:rPr>
                <w:rFonts w:ascii="Calibri" w:hAnsi="Calibri"/>
                <w:b/>
                <w:color w:val="0A1A2E"/>
                <w:sz w:val="20"/>
              </w:rPr>
              <w:t>FTP, Telnet &amp; Legacy Protocol Attacks</w:t>
            </w:r>
          </w:p>
        </w:tc>
        <w:tc>
          <w:tcPr>
            <w:tcW w:w="4703" w:type="dxa"/>
            <w:tcBorders>
              <w:top w:val="single" w:sz="6" w:space="0" w:color="FFFFFF"/>
              <w:left w:val="single" w:sz="6" w:space="0" w:color="FFFFFF"/>
              <w:bottom w:val="single" w:sz="6" w:space="0" w:color="FFFFFF"/>
              <w:right w:val="single" w:sz="6" w:space="0" w:color="FFFFFF"/>
            </w:tcBorders>
            <w:shd w:val="clear" w:color="auto" w:fill="92D050"/>
          </w:tcPr>
          <w:p w14:paraId="4AD9270F" w14:textId="77777777" w:rsidR="00FC6C68" w:rsidRDefault="00000000">
            <w:pPr>
              <w:spacing w:before="120" w:after="120"/>
            </w:pPr>
            <w:r>
              <w:rPr>
                <w:rFonts w:ascii="Calibri" w:hAnsi="Calibri"/>
                <w:color w:val="1A1A2E"/>
                <w:sz w:val="20"/>
              </w:rPr>
              <w:t>Covers how cleartext protocols like FTP and Telnet transmit credentials in plaintext, making them trivially interceptable. Learners work through a simulation of capturing credentials from a Telnet session and accessing an FTP server with the discovered credentials.</w:t>
            </w:r>
          </w:p>
        </w:tc>
      </w:tr>
      <w:tr w:rsidR="00FC6C68" w14:paraId="76396375" w14:textId="77777777" w:rsidTr="004F7D20">
        <w:tc>
          <w:tcPr>
            <w:tcW w:w="4703" w:type="dxa"/>
            <w:tcBorders>
              <w:top w:val="single" w:sz="6" w:space="0" w:color="FFFFFF"/>
              <w:left w:val="single" w:sz="6" w:space="0" w:color="FFFFFF"/>
              <w:bottom w:val="single" w:sz="6" w:space="0" w:color="FFFFFF"/>
              <w:right w:val="single" w:sz="6" w:space="0" w:color="FFFFFF"/>
            </w:tcBorders>
            <w:shd w:val="clear" w:color="auto" w:fill="92D050"/>
          </w:tcPr>
          <w:p w14:paraId="5BD40538" w14:textId="77777777" w:rsidR="00FC6C68" w:rsidRDefault="00000000">
            <w:pPr>
              <w:spacing w:before="120" w:after="120"/>
            </w:pPr>
            <w:r>
              <w:rPr>
                <w:rFonts w:ascii="Calibri" w:hAnsi="Calibri"/>
                <w:b/>
                <w:color w:val="0A1A2E"/>
                <w:sz w:val="20"/>
              </w:rPr>
              <w:t>Wireless Security Fundamentals</w:t>
            </w:r>
          </w:p>
        </w:tc>
        <w:tc>
          <w:tcPr>
            <w:tcW w:w="4703" w:type="dxa"/>
            <w:tcBorders>
              <w:top w:val="single" w:sz="6" w:space="0" w:color="FFFFFF"/>
              <w:left w:val="single" w:sz="6" w:space="0" w:color="FFFFFF"/>
              <w:bottom w:val="single" w:sz="6" w:space="0" w:color="FFFFFF"/>
              <w:right w:val="single" w:sz="6" w:space="0" w:color="FFFFFF"/>
            </w:tcBorders>
            <w:shd w:val="clear" w:color="auto" w:fill="92D050"/>
          </w:tcPr>
          <w:p w14:paraId="6FD9164C" w14:textId="77777777" w:rsidR="00FC6C68" w:rsidRDefault="00000000">
            <w:pPr>
              <w:spacing w:before="120" w:after="120"/>
            </w:pPr>
            <w:r>
              <w:rPr>
                <w:rFonts w:ascii="Calibri" w:hAnsi="Calibri"/>
                <w:color w:val="1A1A2E"/>
                <w:sz w:val="20"/>
              </w:rPr>
              <w:t>Introduces WEP, WPA, and WPA2 and explains why WEP is fundamentally broken. Covers evil twin attacks, deauthentication attacks, and WPA handshake capture concepts. Explains what a pentester documents when wireless networks are in scope.</w:t>
            </w:r>
          </w:p>
        </w:tc>
      </w:tr>
      <w:tr w:rsidR="00FC6C68" w14:paraId="0EFED2E3" w14:textId="77777777" w:rsidTr="004F7D20">
        <w:tc>
          <w:tcPr>
            <w:tcW w:w="4703" w:type="dxa"/>
            <w:tcBorders>
              <w:top w:val="single" w:sz="6" w:space="0" w:color="FFFFFF"/>
              <w:left w:val="single" w:sz="6" w:space="0" w:color="FFFFFF"/>
              <w:bottom w:val="single" w:sz="6" w:space="0" w:color="FFFFFF"/>
              <w:right w:val="single" w:sz="6" w:space="0" w:color="FFFFFF"/>
            </w:tcBorders>
            <w:shd w:val="clear" w:color="auto" w:fill="92D050"/>
          </w:tcPr>
          <w:p w14:paraId="12A97778" w14:textId="77777777" w:rsidR="00FC6C68" w:rsidRDefault="00000000">
            <w:pPr>
              <w:spacing w:before="120" w:after="120"/>
            </w:pPr>
            <w:r>
              <w:rPr>
                <w:rFonts w:ascii="Calibri" w:hAnsi="Calibri"/>
                <w:b/>
                <w:color w:val="0A1A2E"/>
                <w:sz w:val="20"/>
              </w:rPr>
              <w:t>VPN &amp; Firewall Evasion Concepts</w:t>
            </w:r>
          </w:p>
        </w:tc>
        <w:tc>
          <w:tcPr>
            <w:tcW w:w="4703" w:type="dxa"/>
            <w:tcBorders>
              <w:top w:val="single" w:sz="6" w:space="0" w:color="FFFFFF"/>
              <w:left w:val="single" w:sz="6" w:space="0" w:color="FFFFFF"/>
              <w:bottom w:val="single" w:sz="6" w:space="0" w:color="FFFFFF"/>
              <w:right w:val="single" w:sz="6" w:space="0" w:color="FFFFFF"/>
            </w:tcBorders>
            <w:shd w:val="clear" w:color="auto" w:fill="92D050"/>
          </w:tcPr>
          <w:p w14:paraId="0A58E2BB" w14:textId="77777777" w:rsidR="00FC6C68" w:rsidRDefault="00000000">
            <w:pPr>
              <w:spacing w:before="120" w:after="120"/>
            </w:pPr>
            <w:r>
              <w:rPr>
                <w:rFonts w:ascii="Calibri" w:hAnsi="Calibri"/>
                <w:color w:val="1A1A2E"/>
                <w:sz w:val="20"/>
              </w:rPr>
              <w:t>Explains how firewalls, IDS, and IPS systems detect scanning and exploitation attempts. Covers common evasion techniques: packet fragmentation, source port manipulation, timing adjustments, and protocol tunnelling — and the cat-and-mouse dynamic with defensive controls.</w:t>
            </w:r>
          </w:p>
        </w:tc>
      </w:tr>
    </w:tbl>
    <w:p w14:paraId="60ED15B8" w14:textId="77777777" w:rsidR="00FC6C68" w:rsidRDefault="00FC6C68"/>
    <w:p w14:paraId="02672A16" w14:textId="77777777" w:rsidR="00FC6C68" w:rsidRDefault="00000000">
      <w:pPr>
        <w:spacing w:before="360" w:after="80"/>
      </w:pPr>
      <w:r>
        <w:rPr>
          <w:rFonts w:ascii="Calibri" w:hAnsi="Calibri"/>
          <w:b/>
          <w:color w:val="0A1A2E"/>
          <w:sz w:val="36"/>
        </w:rPr>
        <w:t>Module 6: Password Attacks</w:t>
      </w:r>
    </w:p>
    <w:p w14:paraId="4AC6333B" w14:textId="77777777" w:rsidR="00FC6C68" w:rsidRDefault="00000000">
      <w:pPr>
        <w:spacing w:after="160"/>
      </w:pPr>
      <w:r>
        <w:rPr>
          <w:rFonts w:ascii="Calibri" w:hAnsi="Calibri"/>
          <w:i/>
          <w:color w:val="444466"/>
          <w:sz w:val="20"/>
        </w:rPr>
        <w:lastRenderedPageBreak/>
        <w:t>Passwords remain the most exploited entry point in real-world penetration tests. This module covers the full spectrum of password attack techniques from brute force to hash cracking.</w:t>
      </w:r>
    </w:p>
    <w:tbl>
      <w:tblPr>
        <w:tblW w:w="0" w:type="auto"/>
        <w:tblLook w:val="04A0" w:firstRow="1" w:lastRow="0" w:firstColumn="1" w:lastColumn="0" w:noHBand="0" w:noVBand="1"/>
      </w:tblPr>
      <w:tblGrid>
        <w:gridCol w:w="4703"/>
        <w:gridCol w:w="4703"/>
      </w:tblGrid>
      <w:tr w:rsidR="00FC6C68" w14:paraId="55E934B7" w14:textId="77777777">
        <w:tc>
          <w:tcPr>
            <w:tcW w:w="4703" w:type="dxa"/>
            <w:tcBorders>
              <w:top w:val="single" w:sz="6" w:space="0" w:color="FFFFFF"/>
              <w:left w:val="single" w:sz="6" w:space="0" w:color="FFFFFF"/>
              <w:bottom w:val="single" w:sz="6" w:space="0" w:color="FFFFFF"/>
              <w:right w:val="single" w:sz="6" w:space="0" w:color="FFFFFF"/>
            </w:tcBorders>
            <w:shd w:val="clear" w:color="auto" w:fill="0A1A2E"/>
          </w:tcPr>
          <w:p w14:paraId="30A842D7" w14:textId="77777777" w:rsidR="00FC6C68" w:rsidRDefault="00000000">
            <w:pPr>
              <w:spacing w:before="120" w:after="120"/>
            </w:pPr>
            <w:r>
              <w:rPr>
                <w:rFonts w:ascii="Calibri" w:hAnsi="Calibri"/>
                <w:b/>
                <w:color w:val="FFFFFF"/>
                <w:sz w:val="20"/>
              </w:rPr>
              <w:t>Room Name</w:t>
            </w:r>
          </w:p>
        </w:tc>
        <w:tc>
          <w:tcPr>
            <w:tcW w:w="4703" w:type="dxa"/>
            <w:tcBorders>
              <w:top w:val="single" w:sz="6" w:space="0" w:color="FFFFFF"/>
              <w:left w:val="single" w:sz="6" w:space="0" w:color="FFFFFF"/>
              <w:bottom w:val="single" w:sz="6" w:space="0" w:color="FFFFFF"/>
              <w:right w:val="single" w:sz="6" w:space="0" w:color="FFFFFF"/>
            </w:tcBorders>
            <w:shd w:val="clear" w:color="auto" w:fill="0A1A2E"/>
          </w:tcPr>
          <w:p w14:paraId="42190BDF" w14:textId="77777777" w:rsidR="00FC6C68" w:rsidRDefault="00000000">
            <w:pPr>
              <w:spacing w:before="120" w:after="120"/>
            </w:pPr>
            <w:r>
              <w:rPr>
                <w:rFonts w:ascii="Calibri" w:hAnsi="Calibri"/>
                <w:b/>
                <w:color w:val="FFFFFF"/>
                <w:sz w:val="20"/>
              </w:rPr>
              <w:t>Description</w:t>
            </w:r>
          </w:p>
        </w:tc>
      </w:tr>
      <w:tr w:rsidR="00FC6C68" w14:paraId="4B3495F9" w14:textId="77777777" w:rsidTr="004F7D20">
        <w:tc>
          <w:tcPr>
            <w:tcW w:w="4703" w:type="dxa"/>
            <w:tcBorders>
              <w:top w:val="single" w:sz="6" w:space="0" w:color="FFFFFF"/>
              <w:left w:val="single" w:sz="6" w:space="0" w:color="FFFFFF"/>
              <w:bottom w:val="single" w:sz="6" w:space="0" w:color="FFFFFF"/>
              <w:right w:val="single" w:sz="6" w:space="0" w:color="FFFFFF"/>
            </w:tcBorders>
            <w:shd w:val="clear" w:color="auto" w:fill="92D050"/>
          </w:tcPr>
          <w:p w14:paraId="6E982DFD" w14:textId="77777777" w:rsidR="00FC6C68" w:rsidRDefault="00000000">
            <w:pPr>
              <w:spacing w:before="120" w:after="120"/>
            </w:pPr>
            <w:r>
              <w:rPr>
                <w:rFonts w:ascii="Calibri" w:hAnsi="Calibri"/>
                <w:b/>
                <w:color w:val="0A1A2E"/>
                <w:sz w:val="20"/>
              </w:rPr>
              <w:t>Password Attack Fundamentals</w:t>
            </w:r>
          </w:p>
        </w:tc>
        <w:tc>
          <w:tcPr>
            <w:tcW w:w="4703" w:type="dxa"/>
            <w:tcBorders>
              <w:top w:val="single" w:sz="6" w:space="0" w:color="FFFFFF"/>
              <w:left w:val="single" w:sz="6" w:space="0" w:color="FFFFFF"/>
              <w:bottom w:val="single" w:sz="6" w:space="0" w:color="FFFFFF"/>
              <w:right w:val="single" w:sz="6" w:space="0" w:color="FFFFFF"/>
            </w:tcBorders>
            <w:shd w:val="clear" w:color="auto" w:fill="92D050"/>
          </w:tcPr>
          <w:p w14:paraId="5F29371F" w14:textId="77777777" w:rsidR="00FC6C68" w:rsidRDefault="00000000">
            <w:pPr>
              <w:spacing w:before="120" w:after="120"/>
            </w:pPr>
            <w:r>
              <w:rPr>
                <w:rFonts w:ascii="Calibri" w:hAnsi="Calibri"/>
                <w:color w:val="1A1A2E"/>
                <w:sz w:val="20"/>
              </w:rPr>
              <w:t>Explains the three categories of password attacks: online (against live services), offline (against captured hashes), and credential reuse. Covers why password complexity policies alone don't prevent compromise and introduces the attacker's decision tree for choosing the right attack type.</w:t>
            </w:r>
          </w:p>
        </w:tc>
      </w:tr>
      <w:tr w:rsidR="00FC6C68" w14:paraId="73EA7989" w14:textId="77777777" w:rsidTr="004F7D20">
        <w:tc>
          <w:tcPr>
            <w:tcW w:w="4703" w:type="dxa"/>
            <w:tcBorders>
              <w:top w:val="single" w:sz="6" w:space="0" w:color="FFFFFF"/>
              <w:left w:val="single" w:sz="6" w:space="0" w:color="FFFFFF"/>
              <w:bottom w:val="single" w:sz="6" w:space="0" w:color="FFFFFF"/>
              <w:right w:val="single" w:sz="6" w:space="0" w:color="FFFFFF"/>
            </w:tcBorders>
            <w:shd w:val="clear" w:color="auto" w:fill="92D050"/>
          </w:tcPr>
          <w:p w14:paraId="3B6A5902" w14:textId="77777777" w:rsidR="00FC6C68" w:rsidRDefault="00000000">
            <w:pPr>
              <w:spacing w:before="120" w:after="120"/>
            </w:pPr>
            <w:r>
              <w:rPr>
                <w:rFonts w:ascii="Calibri" w:hAnsi="Calibri"/>
                <w:b/>
                <w:color w:val="0A1A2E"/>
                <w:sz w:val="20"/>
              </w:rPr>
              <w:t>Hash Types &amp; Identification</w:t>
            </w:r>
          </w:p>
        </w:tc>
        <w:tc>
          <w:tcPr>
            <w:tcW w:w="4703" w:type="dxa"/>
            <w:tcBorders>
              <w:top w:val="single" w:sz="6" w:space="0" w:color="FFFFFF"/>
              <w:left w:val="single" w:sz="6" w:space="0" w:color="FFFFFF"/>
              <w:bottom w:val="single" w:sz="6" w:space="0" w:color="FFFFFF"/>
              <w:right w:val="single" w:sz="6" w:space="0" w:color="FFFFFF"/>
            </w:tcBorders>
            <w:shd w:val="clear" w:color="auto" w:fill="92D050"/>
          </w:tcPr>
          <w:p w14:paraId="79E57C9D" w14:textId="77777777" w:rsidR="00FC6C68" w:rsidRDefault="00000000">
            <w:pPr>
              <w:spacing w:before="120" w:after="120"/>
            </w:pPr>
            <w:r>
              <w:rPr>
                <w:rFonts w:ascii="Calibri" w:hAnsi="Calibri"/>
                <w:color w:val="1A1A2E"/>
                <w:sz w:val="20"/>
              </w:rPr>
              <w:t>Covers how passwords are stored as hashes in databases and operating systems. Teaches learners to identify MD5, SHA1, SHA256, NTLM, and bcrypt hash types by their length and format. Explains why some hashing algorithms are cryptographically broken and trivially crackable.</w:t>
            </w:r>
          </w:p>
        </w:tc>
      </w:tr>
      <w:tr w:rsidR="00FC6C68" w14:paraId="28D42E1D" w14:textId="77777777" w:rsidTr="00695B3D">
        <w:tc>
          <w:tcPr>
            <w:tcW w:w="4703" w:type="dxa"/>
            <w:tcBorders>
              <w:top w:val="single" w:sz="6" w:space="0" w:color="FFFFFF"/>
              <w:left w:val="single" w:sz="6" w:space="0" w:color="FFFFFF"/>
              <w:bottom w:val="single" w:sz="6" w:space="0" w:color="FFFFFF"/>
              <w:right w:val="single" w:sz="6" w:space="0" w:color="FFFFFF"/>
            </w:tcBorders>
            <w:shd w:val="clear" w:color="auto" w:fill="92D050"/>
          </w:tcPr>
          <w:p w14:paraId="05456932" w14:textId="77777777" w:rsidR="00FC6C68" w:rsidRDefault="00000000">
            <w:pPr>
              <w:spacing w:before="120" w:after="120"/>
            </w:pPr>
            <w:r>
              <w:rPr>
                <w:rFonts w:ascii="Calibri" w:hAnsi="Calibri"/>
                <w:b/>
                <w:color w:val="0A1A2E"/>
                <w:sz w:val="20"/>
              </w:rPr>
              <w:t>Wordlist Attacks &amp; Dictionary Cracking</w:t>
            </w:r>
          </w:p>
        </w:tc>
        <w:tc>
          <w:tcPr>
            <w:tcW w:w="4703" w:type="dxa"/>
            <w:tcBorders>
              <w:top w:val="single" w:sz="6" w:space="0" w:color="FFFFFF"/>
              <w:left w:val="single" w:sz="6" w:space="0" w:color="FFFFFF"/>
              <w:bottom w:val="single" w:sz="6" w:space="0" w:color="FFFFFF"/>
              <w:right w:val="single" w:sz="6" w:space="0" w:color="FFFFFF"/>
            </w:tcBorders>
            <w:shd w:val="clear" w:color="auto" w:fill="92D050"/>
          </w:tcPr>
          <w:p w14:paraId="52E15058" w14:textId="77777777" w:rsidR="00FC6C68" w:rsidRDefault="00000000">
            <w:pPr>
              <w:spacing w:before="120" w:after="120"/>
            </w:pPr>
            <w:r>
              <w:rPr>
                <w:rFonts w:ascii="Calibri" w:hAnsi="Calibri"/>
                <w:color w:val="1A1A2E"/>
                <w:sz w:val="20"/>
              </w:rPr>
              <w:t>Introduces wordlist-based password attacks using Hashcat and John the Ripper (conceptually). Explains how wordlists like RockYou originate from real-world breaches and covers rules-based mutations that multiply wordlist effectiveness.</w:t>
            </w:r>
          </w:p>
        </w:tc>
      </w:tr>
      <w:tr w:rsidR="00FC6C68" w14:paraId="4DE15B98" w14:textId="77777777" w:rsidTr="00695B3D">
        <w:tc>
          <w:tcPr>
            <w:tcW w:w="4703" w:type="dxa"/>
            <w:tcBorders>
              <w:top w:val="single" w:sz="6" w:space="0" w:color="FFFFFF"/>
              <w:left w:val="single" w:sz="6" w:space="0" w:color="FFFFFF"/>
              <w:bottom w:val="single" w:sz="6" w:space="0" w:color="FFFFFF"/>
              <w:right w:val="single" w:sz="6" w:space="0" w:color="FFFFFF"/>
            </w:tcBorders>
            <w:shd w:val="clear" w:color="auto" w:fill="92D050"/>
          </w:tcPr>
          <w:p w14:paraId="6EF9E8D2" w14:textId="77777777" w:rsidR="00FC6C68" w:rsidRDefault="00000000">
            <w:pPr>
              <w:spacing w:before="120" w:after="120"/>
            </w:pPr>
            <w:r>
              <w:rPr>
                <w:rFonts w:ascii="Calibri" w:hAnsi="Calibri"/>
                <w:b/>
                <w:color w:val="0A1A2E"/>
                <w:sz w:val="20"/>
              </w:rPr>
              <w:t>Brute Force &amp; Credential Spraying</w:t>
            </w:r>
          </w:p>
        </w:tc>
        <w:tc>
          <w:tcPr>
            <w:tcW w:w="4703" w:type="dxa"/>
            <w:tcBorders>
              <w:top w:val="single" w:sz="6" w:space="0" w:color="FFFFFF"/>
              <w:left w:val="single" w:sz="6" w:space="0" w:color="FFFFFF"/>
              <w:bottom w:val="single" w:sz="6" w:space="0" w:color="FFFFFF"/>
              <w:right w:val="single" w:sz="6" w:space="0" w:color="FFFFFF"/>
            </w:tcBorders>
            <w:shd w:val="clear" w:color="auto" w:fill="92D050"/>
          </w:tcPr>
          <w:p w14:paraId="0465BBC6" w14:textId="77777777" w:rsidR="00FC6C68" w:rsidRDefault="00000000">
            <w:pPr>
              <w:spacing w:before="120" w:after="120"/>
            </w:pPr>
            <w:r>
              <w:rPr>
                <w:rFonts w:ascii="Calibri" w:hAnsi="Calibri"/>
                <w:color w:val="1A1A2E"/>
                <w:sz w:val="20"/>
              </w:rPr>
              <w:t>Distinguishes between brute-force (exhaustive) and credential spraying (few passwords, many accounts). Explains why spraying is preferred in real engagements to avoid lockouts. Includes a PHP simulation of testing a login form with a spray attack while staying under lockout thresholds.</w:t>
            </w:r>
          </w:p>
        </w:tc>
      </w:tr>
      <w:tr w:rsidR="00FC6C68" w14:paraId="25042752" w14:textId="77777777" w:rsidTr="00695B3D">
        <w:tc>
          <w:tcPr>
            <w:tcW w:w="4703" w:type="dxa"/>
            <w:tcBorders>
              <w:top w:val="single" w:sz="6" w:space="0" w:color="FFFFFF"/>
              <w:left w:val="single" w:sz="6" w:space="0" w:color="FFFFFF"/>
              <w:bottom w:val="single" w:sz="6" w:space="0" w:color="FFFFFF"/>
              <w:right w:val="single" w:sz="6" w:space="0" w:color="FFFFFF"/>
            </w:tcBorders>
            <w:shd w:val="clear" w:color="auto" w:fill="92D050"/>
          </w:tcPr>
          <w:p w14:paraId="5983A6B1" w14:textId="77777777" w:rsidR="00FC6C68" w:rsidRDefault="00000000">
            <w:pPr>
              <w:spacing w:before="120" w:after="120"/>
            </w:pPr>
            <w:r>
              <w:rPr>
                <w:rFonts w:ascii="Calibri" w:hAnsi="Calibri"/>
                <w:b/>
                <w:color w:val="0A1A2E"/>
                <w:sz w:val="20"/>
              </w:rPr>
              <w:t>Default &amp; Leaked Credentials</w:t>
            </w:r>
          </w:p>
        </w:tc>
        <w:tc>
          <w:tcPr>
            <w:tcW w:w="4703" w:type="dxa"/>
            <w:tcBorders>
              <w:top w:val="single" w:sz="6" w:space="0" w:color="FFFFFF"/>
              <w:left w:val="single" w:sz="6" w:space="0" w:color="FFFFFF"/>
              <w:bottom w:val="single" w:sz="6" w:space="0" w:color="FFFFFF"/>
              <w:right w:val="single" w:sz="6" w:space="0" w:color="FFFFFF"/>
            </w:tcBorders>
            <w:shd w:val="clear" w:color="auto" w:fill="92D050"/>
          </w:tcPr>
          <w:p w14:paraId="2A9EB14A" w14:textId="77777777" w:rsidR="00FC6C68" w:rsidRDefault="00000000">
            <w:pPr>
              <w:spacing w:before="120" w:after="120"/>
            </w:pPr>
            <w:r>
              <w:rPr>
                <w:rFonts w:ascii="Calibri" w:hAnsi="Calibri"/>
                <w:color w:val="1A1A2E"/>
                <w:sz w:val="20"/>
              </w:rPr>
              <w:t>Covers how devices ship with default credentials that are never changed. Teaches learners to use default credential databases and breach lookup services as part of initial access testing. Includes a simulation of credential discovery against simulated network devices.</w:t>
            </w:r>
          </w:p>
        </w:tc>
      </w:tr>
    </w:tbl>
    <w:p w14:paraId="2B653A8D" w14:textId="77777777" w:rsidR="00FC6C68" w:rsidRDefault="00FC6C68"/>
    <w:p w14:paraId="6583EAD1" w14:textId="77777777" w:rsidR="00FC6C68" w:rsidRDefault="00000000">
      <w:pPr>
        <w:spacing w:before="360" w:after="80"/>
      </w:pPr>
      <w:r>
        <w:rPr>
          <w:rFonts w:ascii="Calibri" w:hAnsi="Calibri"/>
          <w:b/>
          <w:color w:val="0A1A2E"/>
          <w:sz w:val="36"/>
        </w:rPr>
        <w:t>Module 7: Exploitation Fundamentals</w:t>
      </w:r>
    </w:p>
    <w:p w14:paraId="10D44B97" w14:textId="77777777" w:rsidR="00FC6C68" w:rsidRDefault="00000000">
      <w:pPr>
        <w:spacing w:after="160"/>
      </w:pPr>
      <w:r>
        <w:rPr>
          <w:rFonts w:ascii="Calibri" w:hAnsi="Calibri"/>
          <w:i/>
          <w:color w:val="444466"/>
          <w:sz w:val="20"/>
        </w:rPr>
        <w:t>Exploitation is the phase where discovered vulnerabilities are leveraged to gain access. This module demystifies exploitation by teaching concepts and workflow without requiring reverse engineering expertise, making it accessible to junior pentesters.</w:t>
      </w:r>
    </w:p>
    <w:tbl>
      <w:tblPr>
        <w:tblW w:w="0" w:type="auto"/>
        <w:tblLook w:val="04A0" w:firstRow="1" w:lastRow="0" w:firstColumn="1" w:lastColumn="0" w:noHBand="0" w:noVBand="1"/>
      </w:tblPr>
      <w:tblGrid>
        <w:gridCol w:w="4703"/>
        <w:gridCol w:w="4703"/>
      </w:tblGrid>
      <w:tr w:rsidR="00FC6C68" w14:paraId="7743F120" w14:textId="77777777">
        <w:tc>
          <w:tcPr>
            <w:tcW w:w="4703" w:type="dxa"/>
            <w:tcBorders>
              <w:top w:val="single" w:sz="6" w:space="0" w:color="FFFFFF"/>
              <w:left w:val="single" w:sz="6" w:space="0" w:color="FFFFFF"/>
              <w:bottom w:val="single" w:sz="6" w:space="0" w:color="FFFFFF"/>
              <w:right w:val="single" w:sz="6" w:space="0" w:color="FFFFFF"/>
            </w:tcBorders>
            <w:shd w:val="clear" w:color="auto" w:fill="0A1A2E"/>
          </w:tcPr>
          <w:p w14:paraId="3B649667" w14:textId="77777777" w:rsidR="00FC6C68" w:rsidRDefault="00000000">
            <w:pPr>
              <w:spacing w:before="120" w:after="120"/>
            </w:pPr>
            <w:r>
              <w:rPr>
                <w:rFonts w:ascii="Calibri" w:hAnsi="Calibri"/>
                <w:b/>
                <w:color w:val="FFFFFF"/>
                <w:sz w:val="20"/>
              </w:rPr>
              <w:t>Room Name</w:t>
            </w:r>
          </w:p>
        </w:tc>
        <w:tc>
          <w:tcPr>
            <w:tcW w:w="4703" w:type="dxa"/>
            <w:tcBorders>
              <w:top w:val="single" w:sz="6" w:space="0" w:color="FFFFFF"/>
              <w:left w:val="single" w:sz="6" w:space="0" w:color="FFFFFF"/>
              <w:bottom w:val="single" w:sz="6" w:space="0" w:color="FFFFFF"/>
              <w:right w:val="single" w:sz="6" w:space="0" w:color="FFFFFF"/>
            </w:tcBorders>
            <w:shd w:val="clear" w:color="auto" w:fill="0A1A2E"/>
          </w:tcPr>
          <w:p w14:paraId="1CEAD040" w14:textId="77777777" w:rsidR="00FC6C68" w:rsidRDefault="00000000">
            <w:pPr>
              <w:spacing w:before="120" w:after="120"/>
            </w:pPr>
            <w:r>
              <w:rPr>
                <w:rFonts w:ascii="Calibri" w:hAnsi="Calibri"/>
                <w:b/>
                <w:color w:val="FFFFFF"/>
                <w:sz w:val="20"/>
              </w:rPr>
              <w:t>Description</w:t>
            </w:r>
          </w:p>
        </w:tc>
      </w:tr>
      <w:tr w:rsidR="00FC6C68" w14:paraId="06D45DBC" w14:textId="77777777" w:rsidTr="00AB4290">
        <w:tc>
          <w:tcPr>
            <w:tcW w:w="4703" w:type="dxa"/>
            <w:tcBorders>
              <w:top w:val="single" w:sz="6" w:space="0" w:color="FFFFFF"/>
              <w:left w:val="single" w:sz="6" w:space="0" w:color="FFFFFF"/>
              <w:bottom w:val="single" w:sz="6" w:space="0" w:color="FFFFFF"/>
              <w:right w:val="single" w:sz="6" w:space="0" w:color="FFFFFF"/>
            </w:tcBorders>
            <w:shd w:val="clear" w:color="auto" w:fill="92D050"/>
          </w:tcPr>
          <w:p w14:paraId="04865C94" w14:textId="77777777" w:rsidR="00FC6C68" w:rsidRDefault="00000000">
            <w:pPr>
              <w:spacing w:before="120" w:after="120"/>
            </w:pPr>
            <w:r>
              <w:rPr>
                <w:rFonts w:ascii="Calibri" w:hAnsi="Calibri"/>
                <w:b/>
                <w:color w:val="0A1A2E"/>
                <w:sz w:val="20"/>
              </w:rPr>
              <w:lastRenderedPageBreak/>
              <w:t>Introduction to Exploitation</w:t>
            </w:r>
          </w:p>
        </w:tc>
        <w:tc>
          <w:tcPr>
            <w:tcW w:w="4703" w:type="dxa"/>
            <w:tcBorders>
              <w:top w:val="single" w:sz="6" w:space="0" w:color="FFFFFF"/>
              <w:left w:val="single" w:sz="6" w:space="0" w:color="FFFFFF"/>
              <w:bottom w:val="single" w:sz="6" w:space="0" w:color="FFFFFF"/>
              <w:right w:val="single" w:sz="6" w:space="0" w:color="FFFFFF"/>
            </w:tcBorders>
            <w:shd w:val="clear" w:color="auto" w:fill="92D050"/>
          </w:tcPr>
          <w:p w14:paraId="319A484C" w14:textId="77777777" w:rsidR="00FC6C68" w:rsidRDefault="00000000">
            <w:pPr>
              <w:spacing w:before="120" w:after="120"/>
            </w:pPr>
            <w:r>
              <w:rPr>
                <w:rFonts w:ascii="Calibri" w:hAnsi="Calibri"/>
                <w:color w:val="1A1A2E"/>
                <w:sz w:val="20"/>
              </w:rPr>
              <w:t>Explains what exploitation means in the context of penetration testing: converting a known vulnerability into access. Covers the difference between public exploits, CVEs, and zero-days, and teaches learners to research vulnerabilities in NVD, Exploit-DB, and CVE Mitre.</w:t>
            </w:r>
          </w:p>
        </w:tc>
      </w:tr>
      <w:tr w:rsidR="00FC6C68" w14:paraId="15A9C9F7" w14:textId="77777777" w:rsidTr="00AB4290">
        <w:tc>
          <w:tcPr>
            <w:tcW w:w="4703" w:type="dxa"/>
            <w:tcBorders>
              <w:top w:val="single" w:sz="6" w:space="0" w:color="FFFFFF"/>
              <w:left w:val="single" w:sz="6" w:space="0" w:color="FFFFFF"/>
              <w:bottom w:val="single" w:sz="6" w:space="0" w:color="FFFFFF"/>
              <w:right w:val="single" w:sz="6" w:space="0" w:color="FFFFFF"/>
            </w:tcBorders>
            <w:shd w:val="clear" w:color="auto" w:fill="92D050"/>
          </w:tcPr>
          <w:p w14:paraId="1C1CABC6" w14:textId="77777777" w:rsidR="00FC6C68" w:rsidRDefault="00000000">
            <w:pPr>
              <w:spacing w:before="120" w:after="120"/>
            </w:pPr>
            <w:r>
              <w:rPr>
                <w:rFonts w:ascii="Calibri" w:hAnsi="Calibri"/>
                <w:b/>
                <w:color w:val="0A1A2E"/>
                <w:sz w:val="20"/>
              </w:rPr>
              <w:t>Metasploit Framework Basics</w:t>
            </w:r>
          </w:p>
        </w:tc>
        <w:tc>
          <w:tcPr>
            <w:tcW w:w="4703" w:type="dxa"/>
            <w:tcBorders>
              <w:top w:val="single" w:sz="6" w:space="0" w:color="FFFFFF"/>
              <w:left w:val="single" w:sz="6" w:space="0" w:color="FFFFFF"/>
              <w:bottom w:val="single" w:sz="6" w:space="0" w:color="FFFFFF"/>
              <w:right w:val="single" w:sz="6" w:space="0" w:color="FFFFFF"/>
            </w:tcBorders>
            <w:shd w:val="clear" w:color="auto" w:fill="92D050"/>
          </w:tcPr>
          <w:p w14:paraId="12F6806E" w14:textId="77777777" w:rsidR="00FC6C68" w:rsidRDefault="00000000">
            <w:pPr>
              <w:spacing w:before="120" w:after="120"/>
            </w:pPr>
            <w:r>
              <w:rPr>
                <w:rFonts w:ascii="Calibri" w:hAnsi="Calibri"/>
                <w:color w:val="1A1A2E"/>
                <w:sz w:val="20"/>
              </w:rPr>
              <w:t>Introduces Metasploit as the most widely used exploitation framework. Covers the architecture: modules, payloads, exploits, auxiliaries, and encoders. Learners work through a PHP simulation of the Metasploit workflow — searching, selecting, configuring, and launching a module.</w:t>
            </w:r>
          </w:p>
        </w:tc>
      </w:tr>
      <w:tr w:rsidR="00FC6C68" w14:paraId="3C641091" w14:textId="77777777" w:rsidTr="00AB4290">
        <w:tc>
          <w:tcPr>
            <w:tcW w:w="4703" w:type="dxa"/>
            <w:tcBorders>
              <w:top w:val="single" w:sz="6" w:space="0" w:color="FFFFFF"/>
              <w:left w:val="single" w:sz="6" w:space="0" w:color="FFFFFF"/>
              <w:bottom w:val="single" w:sz="6" w:space="0" w:color="FFFFFF"/>
              <w:right w:val="single" w:sz="6" w:space="0" w:color="FFFFFF"/>
            </w:tcBorders>
            <w:shd w:val="clear" w:color="auto" w:fill="92D050"/>
          </w:tcPr>
          <w:p w14:paraId="2DB5BF94" w14:textId="77777777" w:rsidR="00FC6C68" w:rsidRDefault="00000000">
            <w:pPr>
              <w:spacing w:before="120" w:after="120"/>
            </w:pPr>
            <w:r>
              <w:rPr>
                <w:rFonts w:ascii="Calibri" w:hAnsi="Calibri"/>
                <w:b/>
                <w:color w:val="0A1A2E"/>
                <w:sz w:val="20"/>
              </w:rPr>
              <w:t>Understanding Payloads &amp; Shells</w:t>
            </w:r>
          </w:p>
        </w:tc>
        <w:tc>
          <w:tcPr>
            <w:tcW w:w="4703" w:type="dxa"/>
            <w:tcBorders>
              <w:top w:val="single" w:sz="6" w:space="0" w:color="FFFFFF"/>
              <w:left w:val="single" w:sz="6" w:space="0" w:color="FFFFFF"/>
              <w:bottom w:val="single" w:sz="6" w:space="0" w:color="FFFFFF"/>
              <w:right w:val="single" w:sz="6" w:space="0" w:color="FFFFFF"/>
            </w:tcBorders>
            <w:shd w:val="clear" w:color="auto" w:fill="92D050"/>
          </w:tcPr>
          <w:p w14:paraId="3083691B" w14:textId="77777777" w:rsidR="00FC6C68" w:rsidRDefault="00000000">
            <w:pPr>
              <w:spacing w:before="120" w:after="120"/>
            </w:pPr>
            <w:r>
              <w:rPr>
                <w:rFonts w:ascii="Calibri" w:hAnsi="Calibri"/>
                <w:color w:val="1A1A2E"/>
                <w:sz w:val="20"/>
              </w:rPr>
              <w:t>Explains the difference between bind shells and reverse shells and why reverse shells are preferred in real engagements. Covers staged vs stageless payloads, Meterpreter vs standard shell, and how payload selection affects stealth and capability.</w:t>
            </w:r>
          </w:p>
        </w:tc>
      </w:tr>
      <w:tr w:rsidR="00FC6C68" w14:paraId="3FD1E0DC" w14:textId="77777777" w:rsidTr="007E36CE">
        <w:tc>
          <w:tcPr>
            <w:tcW w:w="4703" w:type="dxa"/>
            <w:tcBorders>
              <w:top w:val="single" w:sz="6" w:space="0" w:color="FFFFFF"/>
              <w:left w:val="single" w:sz="6" w:space="0" w:color="FFFFFF"/>
              <w:bottom w:val="single" w:sz="6" w:space="0" w:color="FFFFFF"/>
              <w:right w:val="single" w:sz="6" w:space="0" w:color="FFFFFF"/>
            </w:tcBorders>
            <w:shd w:val="clear" w:color="auto" w:fill="92D050"/>
          </w:tcPr>
          <w:p w14:paraId="65DC69C2" w14:textId="77777777" w:rsidR="00FC6C68" w:rsidRDefault="00000000">
            <w:pPr>
              <w:spacing w:before="120" w:after="120"/>
            </w:pPr>
            <w:r>
              <w:rPr>
                <w:rFonts w:ascii="Calibri" w:hAnsi="Calibri"/>
                <w:b/>
                <w:color w:val="0A1A2E"/>
                <w:sz w:val="20"/>
              </w:rPr>
              <w:t>CVE Research &amp; Public Exploits</w:t>
            </w:r>
          </w:p>
        </w:tc>
        <w:tc>
          <w:tcPr>
            <w:tcW w:w="4703" w:type="dxa"/>
            <w:tcBorders>
              <w:top w:val="single" w:sz="6" w:space="0" w:color="FFFFFF"/>
              <w:left w:val="single" w:sz="6" w:space="0" w:color="FFFFFF"/>
              <w:bottom w:val="single" w:sz="6" w:space="0" w:color="FFFFFF"/>
              <w:right w:val="single" w:sz="6" w:space="0" w:color="FFFFFF"/>
            </w:tcBorders>
            <w:shd w:val="clear" w:color="auto" w:fill="92D050"/>
          </w:tcPr>
          <w:p w14:paraId="53D22492" w14:textId="77777777" w:rsidR="00FC6C68" w:rsidRDefault="00000000">
            <w:pPr>
              <w:spacing w:before="120" w:after="120"/>
            </w:pPr>
            <w:r>
              <w:rPr>
                <w:rFonts w:ascii="Calibri" w:hAnsi="Calibri"/>
                <w:color w:val="1A1A2E"/>
                <w:sz w:val="20"/>
              </w:rPr>
              <w:t>Teaches learners how to research a specific CVE, find proof-of-concept code on Exploit-DB and GitHub, assess its reliability, and adapt it safely for use in an authorised engagement. Covers the risks of running untrusted exploit code in production environments.</w:t>
            </w:r>
          </w:p>
        </w:tc>
      </w:tr>
      <w:tr w:rsidR="00FC6C68" w14:paraId="25E43EBC" w14:textId="77777777" w:rsidTr="007E36CE">
        <w:tc>
          <w:tcPr>
            <w:tcW w:w="4703" w:type="dxa"/>
            <w:tcBorders>
              <w:top w:val="single" w:sz="6" w:space="0" w:color="FFFFFF"/>
              <w:left w:val="single" w:sz="6" w:space="0" w:color="FFFFFF"/>
              <w:bottom w:val="single" w:sz="6" w:space="0" w:color="FFFFFF"/>
              <w:right w:val="single" w:sz="6" w:space="0" w:color="FFFFFF"/>
            </w:tcBorders>
            <w:shd w:val="clear" w:color="auto" w:fill="92D050"/>
          </w:tcPr>
          <w:p w14:paraId="71AC405F" w14:textId="77777777" w:rsidR="00FC6C68" w:rsidRDefault="00000000">
            <w:pPr>
              <w:spacing w:before="120" w:after="120"/>
            </w:pPr>
            <w:r>
              <w:rPr>
                <w:rFonts w:ascii="Calibri" w:hAnsi="Calibri"/>
                <w:b/>
                <w:color w:val="0A1A2E"/>
                <w:sz w:val="20"/>
              </w:rPr>
              <w:t>Exploitation in Practice</w:t>
            </w:r>
          </w:p>
        </w:tc>
        <w:tc>
          <w:tcPr>
            <w:tcW w:w="4703" w:type="dxa"/>
            <w:tcBorders>
              <w:top w:val="single" w:sz="6" w:space="0" w:color="FFFFFF"/>
              <w:left w:val="single" w:sz="6" w:space="0" w:color="FFFFFF"/>
              <w:bottom w:val="single" w:sz="6" w:space="0" w:color="FFFFFF"/>
              <w:right w:val="single" w:sz="6" w:space="0" w:color="FFFFFF"/>
            </w:tcBorders>
            <w:shd w:val="clear" w:color="auto" w:fill="92D050"/>
          </w:tcPr>
          <w:p w14:paraId="782E5E4A" w14:textId="77777777" w:rsidR="00FC6C68" w:rsidRDefault="00000000">
            <w:pPr>
              <w:spacing w:before="120" w:after="120"/>
            </w:pPr>
            <w:r>
              <w:rPr>
                <w:rFonts w:ascii="Calibri" w:hAnsi="Calibri"/>
                <w:color w:val="1A1A2E"/>
                <w:sz w:val="20"/>
              </w:rPr>
              <w:t>Walks learners through a simulated end-to-end exploitation scenario: enumerating a target, identifying a vulnerable service, selecting an exploit, configuring the payload, and gaining a shell. Consolidates the attack chain that mirrors a real engagement workflow.</w:t>
            </w:r>
          </w:p>
        </w:tc>
      </w:tr>
    </w:tbl>
    <w:p w14:paraId="404783E5" w14:textId="77777777" w:rsidR="00FC6C68" w:rsidRDefault="00FC6C68"/>
    <w:p w14:paraId="129BBA9E" w14:textId="77777777" w:rsidR="00FC6C68" w:rsidRDefault="00000000">
      <w:pPr>
        <w:spacing w:before="360" w:after="80"/>
      </w:pPr>
      <w:r>
        <w:rPr>
          <w:rFonts w:ascii="Calibri" w:hAnsi="Calibri"/>
          <w:b/>
          <w:color w:val="0A1A2E"/>
          <w:sz w:val="36"/>
        </w:rPr>
        <w:t>Module 8: Post-Exploitation &amp; Privilege Escalation</w:t>
      </w:r>
    </w:p>
    <w:p w14:paraId="7B52EB61" w14:textId="77777777" w:rsidR="00FC6C68" w:rsidRDefault="00000000">
      <w:pPr>
        <w:spacing w:after="160"/>
      </w:pPr>
      <w:r>
        <w:rPr>
          <w:rFonts w:ascii="Calibri" w:hAnsi="Calibri"/>
          <w:i/>
          <w:color w:val="444466"/>
          <w:sz w:val="20"/>
        </w:rPr>
        <w:t>Gaining initial access is only the beginning. This module covers what happens after a foothold is established — escalating privileges, maintaining access, and moving through the environment to reach high-value assets.</w:t>
      </w:r>
    </w:p>
    <w:tbl>
      <w:tblPr>
        <w:tblW w:w="0" w:type="auto"/>
        <w:tblLook w:val="04A0" w:firstRow="1" w:lastRow="0" w:firstColumn="1" w:lastColumn="0" w:noHBand="0" w:noVBand="1"/>
      </w:tblPr>
      <w:tblGrid>
        <w:gridCol w:w="4703"/>
        <w:gridCol w:w="4703"/>
      </w:tblGrid>
      <w:tr w:rsidR="00FC6C68" w14:paraId="71616570" w14:textId="77777777">
        <w:tc>
          <w:tcPr>
            <w:tcW w:w="4703" w:type="dxa"/>
            <w:tcBorders>
              <w:top w:val="single" w:sz="6" w:space="0" w:color="FFFFFF"/>
              <w:left w:val="single" w:sz="6" w:space="0" w:color="FFFFFF"/>
              <w:bottom w:val="single" w:sz="6" w:space="0" w:color="FFFFFF"/>
              <w:right w:val="single" w:sz="6" w:space="0" w:color="FFFFFF"/>
            </w:tcBorders>
            <w:shd w:val="clear" w:color="auto" w:fill="0A1A2E"/>
          </w:tcPr>
          <w:p w14:paraId="371CD9FB" w14:textId="77777777" w:rsidR="00FC6C68" w:rsidRDefault="00000000">
            <w:pPr>
              <w:spacing w:before="120" w:after="120"/>
            </w:pPr>
            <w:r>
              <w:rPr>
                <w:rFonts w:ascii="Calibri" w:hAnsi="Calibri"/>
                <w:b/>
                <w:color w:val="FFFFFF"/>
                <w:sz w:val="20"/>
              </w:rPr>
              <w:t>Room Name</w:t>
            </w:r>
          </w:p>
        </w:tc>
        <w:tc>
          <w:tcPr>
            <w:tcW w:w="4703" w:type="dxa"/>
            <w:tcBorders>
              <w:top w:val="single" w:sz="6" w:space="0" w:color="FFFFFF"/>
              <w:left w:val="single" w:sz="6" w:space="0" w:color="FFFFFF"/>
              <w:bottom w:val="single" w:sz="6" w:space="0" w:color="FFFFFF"/>
              <w:right w:val="single" w:sz="6" w:space="0" w:color="FFFFFF"/>
            </w:tcBorders>
            <w:shd w:val="clear" w:color="auto" w:fill="0A1A2E"/>
          </w:tcPr>
          <w:p w14:paraId="68E341D5" w14:textId="77777777" w:rsidR="00FC6C68" w:rsidRDefault="00000000">
            <w:pPr>
              <w:spacing w:before="120" w:after="120"/>
            </w:pPr>
            <w:r>
              <w:rPr>
                <w:rFonts w:ascii="Calibri" w:hAnsi="Calibri"/>
                <w:b/>
                <w:color w:val="FFFFFF"/>
                <w:sz w:val="20"/>
              </w:rPr>
              <w:t>Description</w:t>
            </w:r>
          </w:p>
        </w:tc>
      </w:tr>
      <w:tr w:rsidR="00FC6C68" w14:paraId="43CC3F49" w14:textId="77777777" w:rsidTr="007E36CE">
        <w:tc>
          <w:tcPr>
            <w:tcW w:w="4703" w:type="dxa"/>
            <w:tcBorders>
              <w:top w:val="single" w:sz="6" w:space="0" w:color="FFFFFF"/>
              <w:left w:val="single" w:sz="6" w:space="0" w:color="FFFFFF"/>
              <w:bottom w:val="single" w:sz="6" w:space="0" w:color="FFFFFF"/>
              <w:right w:val="single" w:sz="6" w:space="0" w:color="FFFFFF"/>
            </w:tcBorders>
            <w:shd w:val="clear" w:color="auto" w:fill="92D050"/>
          </w:tcPr>
          <w:p w14:paraId="407D6A74" w14:textId="77777777" w:rsidR="00FC6C68" w:rsidRDefault="00000000">
            <w:pPr>
              <w:spacing w:before="120" w:after="120"/>
            </w:pPr>
            <w:r>
              <w:rPr>
                <w:rFonts w:ascii="Calibri" w:hAnsi="Calibri"/>
                <w:b/>
                <w:color w:val="0A1A2E"/>
                <w:sz w:val="20"/>
              </w:rPr>
              <w:t>Post-Exploitation Fundamentals</w:t>
            </w:r>
          </w:p>
        </w:tc>
        <w:tc>
          <w:tcPr>
            <w:tcW w:w="4703" w:type="dxa"/>
            <w:tcBorders>
              <w:top w:val="single" w:sz="6" w:space="0" w:color="FFFFFF"/>
              <w:left w:val="single" w:sz="6" w:space="0" w:color="FFFFFF"/>
              <w:bottom w:val="single" w:sz="6" w:space="0" w:color="FFFFFF"/>
              <w:right w:val="single" w:sz="6" w:space="0" w:color="FFFFFF"/>
            </w:tcBorders>
            <w:shd w:val="clear" w:color="auto" w:fill="92D050"/>
          </w:tcPr>
          <w:p w14:paraId="2669CC38" w14:textId="77777777" w:rsidR="00FC6C68" w:rsidRDefault="00000000">
            <w:pPr>
              <w:spacing w:before="120" w:after="120"/>
            </w:pPr>
            <w:r>
              <w:rPr>
                <w:rFonts w:ascii="Calibri" w:hAnsi="Calibri"/>
                <w:color w:val="1A1A2E"/>
                <w:sz w:val="20"/>
              </w:rPr>
              <w:t xml:space="preserve">Explains the post-exploitation phase: situational awareness commands, data identification, and mapping the next steps toward the engagement's defined targets. Covers the key question every pentester asks after gaining a shell: "Where am I, and </w:t>
            </w:r>
            <w:r>
              <w:rPr>
                <w:rFonts w:ascii="Calibri" w:hAnsi="Calibri"/>
                <w:color w:val="1A1A2E"/>
                <w:sz w:val="20"/>
              </w:rPr>
              <w:lastRenderedPageBreak/>
              <w:t>where do I need to be?"</w:t>
            </w:r>
          </w:p>
        </w:tc>
      </w:tr>
      <w:tr w:rsidR="00FC6C68" w14:paraId="38583DBA" w14:textId="77777777" w:rsidTr="00714DBA">
        <w:tc>
          <w:tcPr>
            <w:tcW w:w="4703" w:type="dxa"/>
            <w:tcBorders>
              <w:top w:val="single" w:sz="6" w:space="0" w:color="FFFFFF"/>
              <w:left w:val="single" w:sz="6" w:space="0" w:color="FFFFFF"/>
              <w:bottom w:val="single" w:sz="6" w:space="0" w:color="FFFFFF"/>
              <w:right w:val="single" w:sz="6" w:space="0" w:color="FFFFFF"/>
            </w:tcBorders>
            <w:shd w:val="clear" w:color="auto" w:fill="92D050"/>
          </w:tcPr>
          <w:p w14:paraId="0DA49D2D" w14:textId="77777777" w:rsidR="00FC6C68" w:rsidRDefault="00000000">
            <w:pPr>
              <w:spacing w:before="120" w:after="120"/>
            </w:pPr>
            <w:r>
              <w:rPr>
                <w:rFonts w:ascii="Calibri" w:hAnsi="Calibri"/>
                <w:b/>
                <w:color w:val="0A1A2E"/>
                <w:sz w:val="20"/>
              </w:rPr>
              <w:lastRenderedPageBreak/>
              <w:t>Linux Privilege Escalation</w:t>
            </w:r>
          </w:p>
        </w:tc>
        <w:tc>
          <w:tcPr>
            <w:tcW w:w="4703" w:type="dxa"/>
            <w:tcBorders>
              <w:top w:val="single" w:sz="6" w:space="0" w:color="FFFFFF"/>
              <w:left w:val="single" w:sz="6" w:space="0" w:color="FFFFFF"/>
              <w:bottom w:val="single" w:sz="6" w:space="0" w:color="FFFFFF"/>
              <w:right w:val="single" w:sz="6" w:space="0" w:color="FFFFFF"/>
            </w:tcBorders>
            <w:shd w:val="clear" w:color="auto" w:fill="92D050"/>
          </w:tcPr>
          <w:p w14:paraId="7F2E9006" w14:textId="77777777" w:rsidR="00FC6C68" w:rsidRDefault="00000000">
            <w:pPr>
              <w:spacing w:before="120" w:after="120"/>
            </w:pPr>
            <w:r>
              <w:rPr>
                <w:rFonts w:ascii="Calibri" w:hAnsi="Calibri"/>
                <w:color w:val="1A1A2E"/>
                <w:sz w:val="20"/>
              </w:rPr>
              <w:t>Covers the most common Linux escalation vectors: SUID/SGID binaries, cron job abuse, writable paths, weak file permissions, kernel exploits, and sudo misconfigurations. Learners audit a simulated Linux system and chain findings to reach root.</w:t>
            </w:r>
          </w:p>
        </w:tc>
      </w:tr>
      <w:tr w:rsidR="00FC6C68" w14:paraId="76A5F946" w14:textId="77777777" w:rsidTr="00714DBA">
        <w:tc>
          <w:tcPr>
            <w:tcW w:w="4703" w:type="dxa"/>
            <w:tcBorders>
              <w:top w:val="single" w:sz="6" w:space="0" w:color="FFFFFF"/>
              <w:left w:val="single" w:sz="6" w:space="0" w:color="FFFFFF"/>
              <w:bottom w:val="single" w:sz="6" w:space="0" w:color="FFFFFF"/>
              <w:right w:val="single" w:sz="6" w:space="0" w:color="FFFFFF"/>
            </w:tcBorders>
            <w:shd w:val="clear" w:color="auto" w:fill="92D050"/>
          </w:tcPr>
          <w:p w14:paraId="2C44D2AD" w14:textId="77777777" w:rsidR="00FC6C68" w:rsidRDefault="00000000">
            <w:pPr>
              <w:spacing w:before="120" w:after="120"/>
            </w:pPr>
            <w:r>
              <w:rPr>
                <w:rFonts w:ascii="Calibri" w:hAnsi="Calibri"/>
                <w:b/>
                <w:color w:val="0A1A2E"/>
                <w:sz w:val="20"/>
              </w:rPr>
              <w:t>Windows Privilege Escalation</w:t>
            </w:r>
          </w:p>
        </w:tc>
        <w:tc>
          <w:tcPr>
            <w:tcW w:w="4703" w:type="dxa"/>
            <w:tcBorders>
              <w:top w:val="single" w:sz="6" w:space="0" w:color="FFFFFF"/>
              <w:left w:val="single" w:sz="6" w:space="0" w:color="FFFFFF"/>
              <w:bottom w:val="single" w:sz="6" w:space="0" w:color="FFFFFF"/>
              <w:right w:val="single" w:sz="6" w:space="0" w:color="FFFFFF"/>
            </w:tcBorders>
            <w:shd w:val="clear" w:color="auto" w:fill="92D050"/>
          </w:tcPr>
          <w:p w14:paraId="675302F9" w14:textId="77777777" w:rsidR="00FC6C68" w:rsidRDefault="00000000">
            <w:pPr>
              <w:spacing w:before="120" w:after="120"/>
            </w:pPr>
            <w:r>
              <w:rPr>
                <w:rFonts w:ascii="Calibri" w:hAnsi="Calibri"/>
                <w:color w:val="1A1A2E"/>
                <w:sz w:val="20"/>
              </w:rPr>
              <w:t>Covers Windows-specific escalation techniques: unquoted service paths, weak service permissions, token impersonation, AlwaysInstallElevated, scheduled task abuse, and stored credentials in the registry. Explains the difference between local admin and SYSTEM-level access.</w:t>
            </w:r>
          </w:p>
        </w:tc>
      </w:tr>
      <w:tr w:rsidR="00FC6C68" w14:paraId="17E7899A" w14:textId="77777777" w:rsidTr="00714DBA">
        <w:tc>
          <w:tcPr>
            <w:tcW w:w="4703" w:type="dxa"/>
            <w:tcBorders>
              <w:top w:val="single" w:sz="6" w:space="0" w:color="FFFFFF"/>
              <w:left w:val="single" w:sz="6" w:space="0" w:color="FFFFFF"/>
              <w:bottom w:val="single" w:sz="6" w:space="0" w:color="FFFFFF"/>
              <w:right w:val="single" w:sz="6" w:space="0" w:color="FFFFFF"/>
            </w:tcBorders>
            <w:shd w:val="clear" w:color="auto" w:fill="92D050"/>
          </w:tcPr>
          <w:p w14:paraId="5858E512" w14:textId="77777777" w:rsidR="00FC6C68" w:rsidRDefault="00000000">
            <w:pPr>
              <w:spacing w:before="120" w:after="120"/>
            </w:pPr>
            <w:r>
              <w:rPr>
                <w:rFonts w:ascii="Calibri" w:hAnsi="Calibri"/>
                <w:b/>
                <w:color w:val="0A1A2E"/>
                <w:sz w:val="20"/>
              </w:rPr>
              <w:t>Maintaining Access &amp; Persistence</w:t>
            </w:r>
          </w:p>
        </w:tc>
        <w:tc>
          <w:tcPr>
            <w:tcW w:w="4703" w:type="dxa"/>
            <w:tcBorders>
              <w:top w:val="single" w:sz="6" w:space="0" w:color="FFFFFF"/>
              <w:left w:val="single" w:sz="6" w:space="0" w:color="FFFFFF"/>
              <w:bottom w:val="single" w:sz="6" w:space="0" w:color="FFFFFF"/>
              <w:right w:val="single" w:sz="6" w:space="0" w:color="FFFFFF"/>
            </w:tcBorders>
            <w:shd w:val="clear" w:color="auto" w:fill="92D050"/>
          </w:tcPr>
          <w:p w14:paraId="6558BA14" w14:textId="77777777" w:rsidR="00FC6C68" w:rsidRDefault="00000000">
            <w:pPr>
              <w:spacing w:before="120" w:after="120"/>
            </w:pPr>
            <w:r>
              <w:rPr>
                <w:rFonts w:ascii="Calibri" w:hAnsi="Calibri"/>
                <w:color w:val="1A1A2E"/>
                <w:sz w:val="20"/>
              </w:rPr>
              <w:t>Explains how attackers maintain access through backdoors, scheduled tasks, startup entries, and web shells. Covers why pentesters document persistence mechanisms without deploying them maliciously, and the cleanup process at engagement end.</w:t>
            </w:r>
          </w:p>
        </w:tc>
      </w:tr>
      <w:tr w:rsidR="00FC6C68" w14:paraId="62F3EDA7" w14:textId="77777777" w:rsidTr="00226A63">
        <w:tc>
          <w:tcPr>
            <w:tcW w:w="4703" w:type="dxa"/>
            <w:tcBorders>
              <w:top w:val="single" w:sz="6" w:space="0" w:color="FFFFFF"/>
              <w:left w:val="single" w:sz="6" w:space="0" w:color="FFFFFF"/>
              <w:bottom w:val="single" w:sz="6" w:space="0" w:color="FFFFFF"/>
              <w:right w:val="single" w:sz="6" w:space="0" w:color="FFFFFF"/>
            </w:tcBorders>
            <w:shd w:val="clear" w:color="auto" w:fill="92D050"/>
          </w:tcPr>
          <w:p w14:paraId="2896A7D9" w14:textId="77777777" w:rsidR="00FC6C68" w:rsidRDefault="00000000">
            <w:pPr>
              <w:spacing w:before="120" w:after="120"/>
            </w:pPr>
            <w:r>
              <w:rPr>
                <w:rFonts w:ascii="Calibri" w:hAnsi="Calibri"/>
                <w:b/>
                <w:color w:val="0A1A2E"/>
                <w:sz w:val="20"/>
              </w:rPr>
              <w:t>Lateral Movement Concepts</w:t>
            </w:r>
          </w:p>
        </w:tc>
        <w:tc>
          <w:tcPr>
            <w:tcW w:w="4703" w:type="dxa"/>
            <w:tcBorders>
              <w:top w:val="single" w:sz="6" w:space="0" w:color="FFFFFF"/>
              <w:left w:val="single" w:sz="6" w:space="0" w:color="FFFFFF"/>
              <w:bottom w:val="single" w:sz="6" w:space="0" w:color="FFFFFF"/>
              <w:right w:val="single" w:sz="6" w:space="0" w:color="FFFFFF"/>
            </w:tcBorders>
            <w:shd w:val="clear" w:color="auto" w:fill="92D050"/>
          </w:tcPr>
          <w:p w14:paraId="36B1ED93" w14:textId="77777777" w:rsidR="00FC6C68" w:rsidRDefault="00000000">
            <w:pPr>
              <w:spacing w:before="120" w:after="120"/>
            </w:pPr>
            <w:r>
              <w:rPr>
                <w:rFonts w:ascii="Calibri" w:hAnsi="Calibri"/>
                <w:color w:val="1A1A2E"/>
                <w:sz w:val="20"/>
              </w:rPr>
              <w:t>Introduces lateral movement: moving from initial compromise to other systems using harvested credentials, pass-the-hash, and trust relationships. Covers how an attacker pivots from a low-value workstation to a domain controller using credentials found on the initial host.</w:t>
            </w:r>
          </w:p>
        </w:tc>
      </w:tr>
    </w:tbl>
    <w:p w14:paraId="42F103EC" w14:textId="77777777" w:rsidR="00FC6C68" w:rsidRDefault="00FC6C68"/>
    <w:p w14:paraId="33304FEC" w14:textId="77777777" w:rsidR="00FC6C68" w:rsidRDefault="00000000">
      <w:pPr>
        <w:spacing w:before="360" w:after="80"/>
      </w:pPr>
      <w:r>
        <w:rPr>
          <w:rFonts w:ascii="Calibri" w:hAnsi="Calibri"/>
          <w:b/>
          <w:color w:val="0A1A2E"/>
          <w:sz w:val="36"/>
        </w:rPr>
        <w:t>Module 9: Reporting &amp; Documentation</w:t>
      </w:r>
    </w:p>
    <w:p w14:paraId="5F76ECBF" w14:textId="77777777" w:rsidR="00FC6C68" w:rsidRDefault="00000000">
      <w:pPr>
        <w:spacing w:after="160"/>
      </w:pPr>
      <w:r>
        <w:rPr>
          <w:rFonts w:ascii="Calibri" w:hAnsi="Calibri"/>
          <w:i/>
          <w:color w:val="444466"/>
          <w:sz w:val="20"/>
        </w:rPr>
        <w:t>The report is the only tangible deliverable of a penetration test. A technically perfect engagement is worthless without clear, accurate, and actionable documentation. This module teaches learners to produce professional-grade reports for both technical and non-technical audiences.</w:t>
      </w:r>
    </w:p>
    <w:tbl>
      <w:tblPr>
        <w:tblW w:w="0" w:type="auto"/>
        <w:tblLook w:val="04A0" w:firstRow="1" w:lastRow="0" w:firstColumn="1" w:lastColumn="0" w:noHBand="0" w:noVBand="1"/>
      </w:tblPr>
      <w:tblGrid>
        <w:gridCol w:w="4703"/>
        <w:gridCol w:w="4703"/>
      </w:tblGrid>
      <w:tr w:rsidR="00FC6C68" w14:paraId="3590BE81" w14:textId="77777777">
        <w:tc>
          <w:tcPr>
            <w:tcW w:w="4703" w:type="dxa"/>
            <w:tcBorders>
              <w:top w:val="single" w:sz="6" w:space="0" w:color="FFFFFF"/>
              <w:left w:val="single" w:sz="6" w:space="0" w:color="FFFFFF"/>
              <w:bottom w:val="single" w:sz="6" w:space="0" w:color="FFFFFF"/>
              <w:right w:val="single" w:sz="6" w:space="0" w:color="FFFFFF"/>
            </w:tcBorders>
            <w:shd w:val="clear" w:color="auto" w:fill="0A1A2E"/>
          </w:tcPr>
          <w:p w14:paraId="70653752" w14:textId="77777777" w:rsidR="00FC6C68" w:rsidRDefault="00000000">
            <w:pPr>
              <w:spacing w:before="120" w:after="120"/>
            </w:pPr>
            <w:r>
              <w:rPr>
                <w:rFonts w:ascii="Calibri" w:hAnsi="Calibri"/>
                <w:b/>
                <w:color w:val="FFFFFF"/>
                <w:sz w:val="20"/>
              </w:rPr>
              <w:t>Room Name</w:t>
            </w:r>
          </w:p>
        </w:tc>
        <w:tc>
          <w:tcPr>
            <w:tcW w:w="4703" w:type="dxa"/>
            <w:tcBorders>
              <w:top w:val="single" w:sz="6" w:space="0" w:color="FFFFFF"/>
              <w:left w:val="single" w:sz="6" w:space="0" w:color="FFFFFF"/>
              <w:bottom w:val="single" w:sz="6" w:space="0" w:color="FFFFFF"/>
              <w:right w:val="single" w:sz="6" w:space="0" w:color="FFFFFF"/>
            </w:tcBorders>
            <w:shd w:val="clear" w:color="auto" w:fill="0A1A2E"/>
          </w:tcPr>
          <w:p w14:paraId="7608401E" w14:textId="77777777" w:rsidR="00FC6C68" w:rsidRDefault="00000000">
            <w:pPr>
              <w:spacing w:before="120" w:after="120"/>
            </w:pPr>
            <w:r>
              <w:rPr>
                <w:rFonts w:ascii="Calibri" w:hAnsi="Calibri"/>
                <w:b/>
                <w:color w:val="FFFFFF"/>
                <w:sz w:val="20"/>
              </w:rPr>
              <w:t>Description</w:t>
            </w:r>
          </w:p>
        </w:tc>
      </w:tr>
      <w:tr w:rsidR="00FC6C68" w14:paraId="059F2F61" w14:textId="77777777" w:rsidTr="00226A63">
        <w:tc>
          <w:tcPr>
            <w:tcW w:w="4703" w:type="dxa"/>
            <w:tcBorders>
              <w:top w:val="single" w:sz="6" w:space="0" w:color="FFFFFF"/>
              <w:left w:val="single" w:sz="6" w:space="0" w:color="FFFFFF"/>
              <w:bottom w:val="single" w:sz="6" w:space="0" w:color="FFFFFF"/>
              <w:right w:val="single" w:sz="6" w:space="0" w:color="FFFFFF"/>
            </w:tcBorders>
            <w:shd w:val="clear" w:color="auto" w:fill="92D050"/>
          </w:tcPr>
          <w:p w14:paraId="0CE91B3B" w14:textId="77777777" w:rsidR="00FC6C68" w:rsidRDefault="00000000">
            <w:pPr>
              <w:spacing w:before="120" w:after="120"/>
            </w:pPr>
            <w:r>
              <w:rPr>
                <w:rFonts w:ascii="Calibri" w:hAnsi="Calibri"/>
                <w:b/>
                <w:color w:val="0A1A2E"/>
                <w:sz w:val="20"/>
              </w:rPr>
              <w:t>Penetration Test Report Structure</w:t>
            </w:r>
          </w:p>
        </w:tc>
        <w:tc>
          <w:tcPr>
            <w:tcW w:w="4703" w:type="dxa"/>
            <w:tcBorders>
              <w:top w:val="single" w:sz="6" w:space="0" w:color="FFFFFF"/>
              <w:left w:val="single" w:sz="6" w:space="0" w:color="FFFFFF"/>
              <w:bottom w:val="single" w:sz="6" w:space="0" w:color="FFFFFF"/>
              <w:right w:val="single" w:sz="6" w:space="0" w:color="FFFFFF"/>
            </w:tcBorders>
            <w:shd w:val="clear" w:color="auto" w:fill="92D050"/>
          </w:tcPr>
          <w:p w14:paraId="65C65B08" w14:textId="77777777" w:rsidR="00FC6C68" w:rsidRDefault="00000000">
            <w:pPr>
              <w:spacing w:before="120" w:after="120"/>
            </w:pPr>
            <w:r>
              <w:rPr>
                <w:rFonts w:ascii="Calibri" w:hAnsi="Calibri"/>
                <w:color w:val="1A1A2E"/>
                <w:sz w:val="20"/>
              </w:rPr>
              <w:t>Covers the anatomy of a professional pentest report: executive summary, scope and methodology, findings, risk ratings, and remediation recommendations. Explains the difference between what the CISO needs to read and what the security engineer needs to act on.</w:t>
            </w:r>
          </w:p>
        </w:tc>
      </w:tr>
      <w:tr w:rsidR="00FC6C68" w14:paraId="727D1374" w14:textId="77777777" w:rsidTr="00226A63">
        <w:tc>
          <w:tcPr>
            <w:tcW w:w="4703" w:type="dxa"/>
            <w:tcBorders>
              <w:top w:val="single" w:sz="6" w:space="0" w:color="FFFFFF"/>
              <w:left w:val="single" w:sz="6" w:space="0" w:color="FFFFFF"/>
              <w:bottom w:val="single" w:sz="6" w:space="0" w:color="FFFFFF"/>
              <w:right w:val="single" w:sz="6" w:space="0" w:color="FFFFFF"/>
            </w:tcBorders>
            <w:shd w:val="clear" w:color="auto" w:fill="92D050"/>
          </w:tcPr>
          <w:p w14:paraId="46E95E2D" w14:textId="77777777" w:rsidR="00FC6C68" w:rsidRDefault="00000000">
            <w:pPr>
              <w:spacing w:before="120" w:after="120"/>
            </w:pPr>
            <w:r>
              <w:rPr>
                <w:rFonts w:ascii="Calibri" w:hAnsi="Calibri"/>
                <w:b/>
                <w:color w:val="0A1A2E"/>
                <w:sz w:val="20"/>
              </w:rPr>
              <w:t>Writing Findings &amp; Vulnerability Write-Ups</w:t>
            </w:r>
          </w:p>
        </w:tc>
        <w:tc>
          <w:tcPr>
            <w:tcW w:w="4703" w:type="dxa"/>
            <w:tcBorders>
              <w:top w:val="single" w:sz="6" w:space="0" w:color="FFFFFF"/>
              <w:left w:val="single" w:sz="6" w:space="0" w:color="FFFFFF"/>
              <w:bottom w:val="single" w:sz="6" w:space="0" w:color="FFFFFF"/>
              <w:right w:val="single" w:sz="6" w:space="0" w:color="FFFFFF"/>
            </w:tcBorders>
            <w:shd w:val="clear" w:color="auto" w:fill="92D050"/>
          </w:tcPr>
          <w:p w14:paraId="01CEB832" w14:textId="77777777" w:rsidR="00FC6C68" w:rsidRDefault="00000000">
            <w:pPr>
              <w:spacing w:before="120" w:after="120"/>
            </w:pPr>
            <w:r>
              <w:rPr>
                <w:rFonts w:ascii="Calibri" w:hAnsi="Calibri"/>
                <w:color w:val="1A1A2E"/>
                <w:sz w:val="20"/>
              </w:rPr>
              <w:t xml:space="preserve">Teaches the standard format for a finding write-up: title, severity, affected systems, description, evidence, business impact, and remediation steps. Learners write </w:t>
            </w:r>
            <w:r>
              <w:rPr>
                <w:rFonts w:ascii="Calibri" w:hAnsi="Calibri"/>
                <w:color w:val="1A1A2E"/>
                <w:sz w:val="20"/>
              </w:rPr>
              <w:lastRenderedPageBreak/>
              <w:t>up three simulated findings from different vulnerability classes, practising clarity and precision.</w:t>
            </w:r>
          </w:p>
        </w:tc>
      </w:tr>
      <w:tr w:rsidR="00FC6C68" w14:paraId="17D20EAA" w14:textId="77777777" w:rsidTr="002967DB">
        <w:tc>
          <w:tcPr>
            <w:tcW w:w="4703" w:type="dxa"/>
            <w:tcBorders>
              <w:top w:val="single" w:sz="6" w:space="0" w:color="FFFFFF"/>
              <w:left w:val="single" w:sz="6" w:space="0" w:color="FFFFFF"/>
              <w:bottom w:val="single" w:sz="6" w:space="0" w:color="FFFFFF"/>
              <w:right w:val="single" w:sz="6" w:space="0" w:color="FFFFFF"/>
            </w:tcBorders>
            <w:shd w:val="clear" w:color="auto" w:fill="92D050"/>
          </w:tcPr>
          <w:p w14:paraId="43603950" w14:textId="77777777" w:rsidR="00FC6C68" w:rsidRDefault="00000000">
            <w:pPr>
              <w:spacing w:before="120" w:after="120"/>
            </w:pPr>
            <w:r>
              <w:rPr>
                <w:rFonts w:ascii="Calibri" w:hAnsi="Calibri"/>
                <w:b/>
                <w:color w:val="0A1A2E"/>
                <w:sz w:val="20"/>
              </w:rPr>
              <w:lastRenderedPageBreak/>
              <w:t>CVSS Scoring &amp; Risk Rating</w:t>
            </w:r>
          </w:p>
        </w:tc>
        <w:tc>
          <w:tcPr>
            <w:tcW w:w="4703" w:type="dxa"/>
            <w:tcBorders>
              <w:top w:val="single" w:sz="6" w:space="0" w:color="FFFFFF"/>
              <w:left w:val="single" w:sz="6" w:space="0" w:color="FFFFFF"/>
              <w:bottom w:val="single" w:sz="6" w:space="0" w:color="FFFFFF"/>
              <w:right w:val="single" w:sz="6" w:space="0" w:color="FFFFFF"/>
            </w:tcBorders>
            <w:shd w:val="clear" w:color="auto" w:fill="92D050"/>
          </w:tcPr>
          <w:p w14:paraId="5D837951" w14:textId="77777777" w:rsidR="00FC6C68" w:rsidRDefault="00000000">
            <w:pPr>
              <w:spacing w:before="120" w:after="120"/>
            </w:pPr>
            <w:r>
              <w:rPr>
                <w:rFonts w:ascii="Calibri" w:hAnsi="Calibri"/>
                <w:color w:val="1A1A2E"/>
                <w:sz w:val="20"/>
              </w:rPr>
              <w:t>Introduces the Common Vulnerability Scoring System (CVSS v3.1) and explains the Base, Temporal, and Environmental metric groups. Learners score a set of simulated vulnerabilities, understanding how attack vector, complexity, privileges, and impact combine to drive prioritisation.</w:t>
            </w:r>
          </w:p>
        </w:tc>
      </w:tr>
      <w:tr w:rsidR="00FC6C68" w14:paraId="1292D3C8" w14:textId="77777777" w:rsidTr="002967DB">
        <w:tc>
          <w:tcPr>
            <w:tcW w:w="4703" w:type="dxa"/>
            <w:tcBorders>
              <w:top w:val="single" w:sz="6" w:space="0" w:color="FFFFFF"/>
              <w:left w:val="single" w:sz="6" w:space="0" w:color="FFFFFF"/>
              <w:bottom w:val="single" w:sz="6" w:space="0" w:color="FFFFFF"/>
              <w:right w:val="single" w:sz="6" w:space="0" w:color="FFFFFF"/>
            </w:tcBorders>
            <w:shd w:val="clear" w:color="auto" w:fill="92D050"/>
          </w:tcPr>
          <w:p w14:paraId="70895B5C" w14:textId="77777777" w:rsidR="00FC6C68" w:rsidRDefault="00000000">
            <w:pPr>
              <w:spacing w:before="120" w:after="120"/>
            </w:pPr>
            <w:r>
              <w:rPr>
                <w:rFonts w:ascii="Calibri" w:hAnsi="Calibri"/>
                <w:b/>
                <w:color w:val="0A1A2E"/>
                <w:sz w:val="20"/>
              </w:rPr>
              <w:t>Remediation Recommendations &amp; Follow-Up</w:t>
            </w:r>
          </w:p>
        </w:tc>
        <w:tc>
          <w:tcPr>
            <w:tcW w:w="4703" w:type="dxa"/>
            <w:tcBorders>
              <w:top w:val="single" w:sz="6" w:space="0" w:color="FFFFFF"/>
              <w:left w:val="single" w:sz="6" w:space="0" w:color="FFFFFF"/>
              <w:bottom w:val="single" w:sz="6" w:space="0" w:color="FFFFFF"/>
              <w:right w:val="single" w:sz="6" w:space="0" w:color="FFFFFF"/>
            </w:tcBorders>
            <w:shd w:val="clear" w:color="auto" w:fill="92D050"/>
          </w:tcPr>
          <w:p w14:paraId="6082BCD3" w14:textId="77777777" w:rsidR="00FC6C68" w:rsidRDefault="00000000">
            <w:pPr>
              <w:spacing w:before="120" w:after="120"/>
            </w:pPr>
            <w:r>
              <w:rPr>
                <w:rFonts w:ascii="Calibri" w:hAnsi="Calibri"/>
                <w:color w:val="1A1A2E"/>
                <w:sz w:val="20"/>
              </w:rPr>
              <w:t>Covers how to write actionable remediation guidance that engineers can implement without guesswork. Explains the remediation window, re-testing (verification testing), and the differences between a fix, a workaround, and an accepted risk.</w:t>
            </w:r>
          </w:p>
        </w:tc>
      </w:tr>
    </w:tbl>
    <w:p w14:paraId="25D34D11" w14:textId="77777777" w:rsidR="00FC6C68" w:rsidRDefault="00FC6C68"/>
    <w:p w14:paraId="36403B80" w14:textId="77777777" w:rsidR="00FC6C68" w:rsidRDefault="00000000">
      <w:pPr>
        <w:pBdr>
          <w:bottom w:val="single" w:sz="4" w:space="1" w:color="0066FF"/>
        </w:pBdr>
        <w:spacing w:before="280" w:after="120"/>
      </w:pPr>
      <w:r>
        <w:rPr>
          <w:rFonts w:ascii="Calibri" w:hAnsi="Calibri"/>
          <w:b/>
          <w:color w:val="0066FF"/>
          <w:sz w:val="18"/>
        </w:rPr>
        <w:t>PRACTICAL SIMULATION DESIGN NOTES  (PLATFORM CONTEXT)</w:t>
      </w:r>
    </w:p>
    <w:tbl>
      <w:tblPr>
        <w:tblW w:w="0" w:type="auto"/>
        <w:tblLook w:val="04A0" w:firstRow="1" w:lastRow="0" w:firstColumn="1" w:lastColumn="0" w:noHBand="0" w:noVBand="1"/>
      </w:tblPr>
      <w:tblGrid>
        <w:gridCol w:w="4703"/>
        <w:gridCol w:w="4703"/>
      </w:tblGrid>
      <w:tr w:rsidR="00FC6C68" w14:paraId="14A9B692" w14:textId="77777777">
        <w:tc>
          <w:tcPr>
            <w:tcW w:w="4703" w:type="dxa"/>
            <w:tcBorders>
              <w:top w:val="single" w:sz="6" w:space="0" w:color="FFFFFF"/>
              <w:left w:val="single" w:sz="6" w:space="0" w:color="FFFFFF"/>
              <w:bottom w:val="single" w:sz="6" w:space="0" w:color="FFFFFF"/>
              <w:right w:val="single" w:sz="6" w:space="0" w:color="FFFFFF"/>
            </w:tcBorders>
            <w:shd w:val="clear" w:color="auto" w:fill="0A1A2E"/>
          </w:tcPr>
          <w:p w14:paraId="59376B6D" w14:textId="77777777" w:rsidR="00FC6C68" w:rsidRDefault="00000000">
            <w:pPr>
              <w:spacing w:before="120" w:after="120"/>
            </w:pPr>
            <w:r>
              <w:rPr>
                <w:rFonts w:ascii="Calibri" w:hAnsi="Calibri"/>
                <w:b/>
                <w:color w:val="FFFFFF"/>
                <w:sz w:val="20"/>
              </w:rPr>
              <w:t>Module Area</w:t>
            </w:r>
          </w:p>
        </w:tc>
        <w:tc>
          <w:tcPr>
            <w:tcW w:w="4703" w:type="dxa"/>
            <w:tcBorders>
              <w:top w:val="single" w:sz="6" w:space="0" w:color="FFFFFF"/>
              <w:left w:val="single" w:sz="6" w:space="0" w:color="FFFFFF"/>
              <w:bottom w:val="single" w:sz="6" w:space="0" w:color="FFFFFF"/>
              <w:right w:val="single" w:sz="6" w:space="0" w:color="FFFFFF"/>
            </w:tcBorders>
            <w:shd w:val="clear" w:color="auto" w:fill="0A1A2E"/>
          </w:tcPr>
          <w:p w14:paraId="3E210AD7" w14:textId="77777777" w:rsidR="00FC6C68" w:rsidRDefault="00000000">
            <w:pPr>
              <w:spacing w:before="120" w:after="120"/>
            </w:pPr>
            <w:r>
              <w:rPr>
                <w:rFonts w:ascii="Calibri" w:hAnsi="Calibri"/>
                <w:b/>
                <w:color w:val="FFFFFF"/>
                <w:sz w:val="20"/>
              </w:rPr>
              <w:t>Simulation Approach</w:t>
            </w:r>
          </w:p>
        </w:tc>
      </w:tr>
      <w:tr w:rsidR="00FC6C68" w14:paraId="6DF7C66C" w14:textId="77777777" w:rsidTr="00E27BF5">
        <w:tc>
          <w:tcPr>
            <w:tcW w:w="4703" w:type="dxa"/>
            <w:tcBorders>
              <w:top w:val="single" w:sz="6" w:space="0" w:color="FFFFFF"/>
              <w:left w:val="single" w:sz="6" w:space="0" w:color="FFFFFF"/>
              <w:bottom w:val="single" w:sz="6" w:space="0" w:color="FFFFFF"/>
              <w:right w:val="single" w:sz="6" w:space="0" w:color="FFFFFF"/>
            </w:tcBorders>
            <w:shd w:val="clear" w:color="auto" w:fill="92D050"/>
          </w:tcPr>
          <w:p w14:paraId="4DCDB80F" w14:textId="77777777" w:rsidR="00FC6C68" w:rsidRDefault="00000000">
            <w:pPr>
              <w:spacing w:before="120" w:after="120"/>
            </w:pPr>
            <w:r>
              <w:rPr>
                <w:rFonts w:ascii="Calibri" w:hAnsi="Calibri"/>
                <w:b/>
                <w:color w:val="0A1A2E"/>
                <w:sz w:val="20"/>
              </w:rPr>
              <w:t>Reconnaissance</w:t>
            </w:r>
          </w:p>
        </w:tc>
        <w:tc>
          <w:tcPr>
            <w:tcW w:w="4703" w:type="dxa"/>
            <w:tcBorders>
              <w:top w:val="single" w:sz="6" w:space="0" w:color="FFFFFF"/>
              <w:left w:val="single" w:sz="6" w:space="0" w:color="FFFFFF"/>
              <w:bottom w:val="single" w:sz="6" w:space="0" w:color="FFFFFF"/>
              <w:right w:val="single" w:sz="6" w:space="0" w:color="FFFFFF"/>
            </w:tcBorders>
            <w:shd w:val="clear" w:color="auto" w:fill="92D050"/>
          </w:tcPr>
          <w:p w14:paraId="681AFA0D" w14:textId="77777777" w:rsidR="00FC6C68" w:rsidRDefault="00000000">
            <w:pPr>
              <w:spacing w:before="120" w:after="120"/>
            </w:pPr>
            <w:r>
              <w:rPr>
                <w:rFonts w:ascii="Calibri" w:hAnsi="Calibri"/>
                <w:color w:val="1A1A2E"/>
                <w:sz w:val="20"/>
              </w:rPr>
              <w:t>Simulate WHOIS/DNS outputs, Shodan result pages, and Google Dork result sets as static data the learner interrogates with structured questions.</w:t>
            </w:r>
          </w:p>
        </w:tc>
      </w:tr>
      <w:tr w:rsidR="00FC6C68" w14:paraId="3B304007" w14:textId="77777777" w:rsidTr="00E27BF5">
        <w:tc>
          <w:tcPr>
            <w:tcW w:w="4703" w:type="dxa"/>
            <w:tcBorders>
              <w:top w:val="single" w:sz="6" w:space="0" w:color="FFFFFF"/>
              <w:left w:val="single" w:sz="6" w:space="0" w:color="FFFFFF"/>
              <w:bottom w:val="single" w:sz="6" w:space="0" w:color="FFFFFF"/>
              <w:right w:val="single" w:sz="6" w:space="0" w:color="FFFFFF"/>
            </w:tcBorders>
            <w:shd w:val="clear" w:color="auto" w:fill="92D050"/>
          </w:tcPr>
          <w:p w14:paraId="5584072F" w14:textId="77777777" w:rsidR="00FC6C68" w:rsidRDefault="00000000">
            <w:pPr>
              <w:spacing w:before="120" w:after="120"/>
            </w:pPr>
            <w:r>
              <w:rPr>
                <w:rFonts w:ascii="Calibri" w:hAnsi="Calibri"/>
                <w:b/>
                <w:color w:val="0A1A2E"/>
                <w:sz w:val="20"/>
              </w:rPr>
              <w:t>Scanning</w:t>
            </w:r>
          </w:p>
        </w:tc>
        <w:tc>
          <w:tcPr>
            <w:tcW w:w="4703" w:type="dxa"/>
            <w:tcBorders>
              <w:top w:val="single" w:sz="6" w:space="0" w:color="FFFFFF"/>
              <w:left w:val="single" w:sz="6" w:space="0" w:color="FFFFFF"/>
              <w:bottom w:val="single" w:sz="6" w:space="0" w:color="FFFFFF"/>
              <w:right w:val="single" w:sz="6" w:space="0" w:color="FFFFFF"/>
            </w:tcBorders>
            <w:shd w:val="clear" w:color="auto" w:fill="92D050"/>
          </w:tcPr>
          <w:p w14:paraId="451469EB" w14:textId="77777777" w:rsidR="00FC6C68" w:rsidRDefault="00000000">
            <w:pPr>
              <w:spacing w:before="120" w:after="120"/>
            </w:pPr>
            <w:r>
              <w:rPr>
                <w:rFonts w:ascii="Calibri" w:hAnsi="Calibri"/>
                <w:color w:val="1A1A2E"/>
                <w:sz w:val="20"/>
              </w:rPr>
              <w:t>Present pre-generated Nmap output for a fictional target network; learners interpret and answer questions based on real-world scan output format.</w:t>
            </w:r>
          </w:p>
        </w:tc>
      </w:tr>
      <w:tr w:rsidR="00FC6C68" w14:paraId="0F078538" w14:textId="77777777" w:rsidTr="00E27BF5">
        <w:tc>
          <w:tcPr>
            <w:tcW w:w="4703" w:type="dxa"/>
            <w:tcBorders>
              <w:top w:val="single" w:sz="6" w:space="0" w:color="FFFFFF"/>
              <w:left w:val="single" w:sz="6" w:space="0" w:color="FFFFFF"/>
              <w:bottom w:val="single" w:sz="6" w:space="0" w:color="FFFFFF"/>
              <w:right w:val="single" w:sz="6" w:space="0" w:color="FFFFFF"/>
            </w:tcBorders>
            <w:shd w:val="clear" w:color="auto" w:fill="92D050"/>
          </w:tcPr>
          <w:p w14:paraId="45151659" w14:textId="77777777" w:rsidR="00FC6C68" w:rsidRDefault="00000000">
            <w:pPr>
              <w:spacing w:before="120" w:after="120"/>
            </w:pPr>
            <w:r>
              <w:rPr>
                <w:rFonts w:ascii="Calibri" w:hAnsi="Calibri"/>
                <w:b/>
                <w:color w:val="0A1A2E"/>
                <w:sz w:val="20"/>
              </w:rPr>
              <w:t>Web Application</w:t>
            </w:r>
          </w:p>
        </w:tc>
        <w:tc>
          <w:tcPr>
            <w:tcW w:w="4703" w:type="dxa"/>
            <w:tcBorders>
              <w:top w:val="single" w:sz="6" w:space="0" w:color="FFFFFF"/>
              <w:left w:val="single" w:sz="6" w:space="0" w:color="FFFFFF"/>
              <w:bottom w:val="single" w:sz="6" w:space="0" w:color="FFFFFF"/>
              <w:right w:val="single" w:sz="6" w:space="0" w:color="FFFFFF"/>
            </w:tcBorders>
            <w:shd w:val="clear" w:color="auto" w:fill="92D050"/>
          </w:tcPr>
          <w:p w14:paraId="55072AF3" w14:textId="77777777" w:rsidR="00FC6C68" w:rsidRDefault="00000000">
            <w:pPr>
              <w:spacing w:before="120" w:after="120"/>
            </w:pPr>
            <w:r>
              <w:rPr>
                <w:rFonts w:ascii="Calibri" w:hAnsi="Calibri"/>
                <w:color w:val="1A1A2E"/>
                <w:sz w:val="20"/>
              </w:rPr>
              <w:t>PHP-rendered vulnerable pages (login forms, comment boxes, file inputs, URL parameters) where learners submit payloads and see simulated server responses.</w:t>
            </w:r>
          </w:p>
        </w:tc>
      </w:tr>
      <w:tr w:rsidR="00FC6C68" w14:paraId="4D4087C1" w14:textId="77777777" w:rsidTr="00E27BF5">
        <w:tc>
          <w:tcPr>
            <w:tcW w:w="4703" w:type="dxa"/>
            <w:tcBorders>
              <w:top w:val="single" w:sz="6" w:space="0" w:color="FFFFFF"/>
              <w:left w:val="single" w:sz="6" w:space="0" w:color="FFFFFF"/>
              <w:bottom w:val="single" w:sz="6" w:space="0" w:color="FFFFFF"/>
              <w:right w:val="single" w:sz="6" w:space="0" w:color="FFFFFF"/>
            </w:tcBorders>
            <w:shd w:val="clear" w:color="auto" w:fill="92D050"/>
          </w:tcPr>
          <w:p w14:paraId="2E8E8020" w14:textId="77777777" w:rsidR="00FC6C68" w:rsidRDefault="00000000">
            <w:pPr>
              <w:spacing w:before="120" w:after="120"/>
            </w:pPr>
            <w:r>
              <w:rPr>
                <w:rFonts w:ascii="Calibri" w:hAnsi="Calibri"/>
                <w:b/>
                <w:color w:val="0A1A2E"/>
                <w:sz w:val="20"/>
              </w:rPr>
              <w:t>Network Attacks</w:t>
            </w:r>
          </w:p>
        </w:tc>
        <w:tc>
          <w:tcPr>
            <w:tcW w:w="4703" w:type="dxa"/>
            <w:tcBorders>
              <w:top w:val="single" w:sz="6" w:space="0" w:color="FFFFFF"/>
              <w:left w:val="single" w:sz="6" w:space="0" w:color="FFFFFF"/>
              <w:bottom w:val="single" w:sz="6" w:space="0" w:color="FFFFFF"/>
              <w:right w:val="single" w:sz="6" w:space="0" w:color="FFFFFF"/>
            </w:tcBorders>
            <w:shd w:val="clear" w:color="auto" w:fill="92D050"/>
          </w:tcPr>
          <w:p w14:paraId="2BD609BE" w14:textId="77777777" w:rsidR="00FC6C68" w:rsidRDefault="00000000">
            <w:pPr>
              <w:spacing w:before="120" w:after="120"/>
            </w:pPr>
            <w:r>
              <w:rPr>
                <w:rFonts w:ascii="Calibri" w:hAnsi="Calibri"/>
                <w:color w:val="1A1A2E"/>
                <w:sz w:val="20"/>
              </w:rPr>
              <w:t>Simulate packet captures, ARP tables, and protocol interactions as text-based output that learners parse to extract credentials or evidence.</w:t>
            </w:r>
          </w:p>
        </w:tc>
      </w:tr>
      <w:tr w:rsidR="00FC6C68" w14:paraId="11247F53" w14:textId="77777777" w:rsidTr="00E27BF5">
        <w:tc>
          <w:tcPr>
            <w:tcW w:w="4703" w:type="dxa"/>
            <w:tcBorders>
              <w:top w:val="single" w:sz="6" w:space="0" w:color="FFFFFF"/>
              <w:left w:val="single" w:sz="6" w:space="0" w:color="FFFFFF"/>
              <w:bottom w:val="single" w:sz="6" w:space="0" w:color="FFFFFF"/>
              <w:right w:val="single" w:sz="6" w:space="0" w:color="FFFFFF"/>
            </w:tcBorders>
            <w:shd w:val="clear" w:color="auto" w:fill="92D050"/>
          </w:tcPr>
          <w:p w14:paraId="3FA4C6C3" w14:textId="77777777" w:rsidR="00FC6C68" w:rsidRDefault="00000000">
            <w:pPr>
              <w:spacing w:before="120" w:after="120"/>
            </w:pPr>
            <w:r>
              <w:rPr>
                <w:rFonts w:ascii="Calibri" w:hAnsi="Calibri"/>
                <w:b/>
                <w:color w:val="0A1A2E"/>
                <w:sz w:val="20"/>
              </w:rPr>
              <w:t>Password Attacks</w:t>
            </w:r>
          </w:p>
        </w:tc>
        <w:tc>
          <w:tcPr>
            <w:tcW w:w="4703" w:type="dxa"/>
            <w:tcBorders>
              <w:top w:val="single" w:sz="6" w:space="0" w:color="FFFFFF"/>
              <w:left w:val="single" w:sz="6" w:space="0" w:color="FFFFFF"/>
              <w:bottom w:val="single" w:sz="6" w:space="0" w:color="FFFFFF"/>
              <w:right w:val="single" w:sz="6" w:space="0" w:color="FFFFFF"/>
            </w:tcBorders>
            <w:shd w:val="clear" w:color="auto" w:fill="92D050"/>
          </w:tcPr>
          <w:p w14:paraId="2F6A03E7" w14:textId="77777777" w:rsidR="00FC6C68" w:rsidRDefault="00000000">
            <w:pPr>
              <w:spacing w:before="120" w:after="120"/>
            </w:pPr>
            <w:r>
              <w:rPr>
                <w:rFonts w:ascii="Calibri" w:hAnsi="Calibri"/>
                <w:color w:val="1A1A2E"/>
                <w:sz w:val="20"/>
              </w:rPr>
              <w:t>Present hash lists, login forms with rate-limiting logic, and wordlist scenarios where learners choose the correct attack approach.</w:t>
            </w:r>
          </w:p>
        </w:tc>
      </w:tr>
      <w:tr w:rsidR="00FC6C68" w14:paraId="55E90B9E" w14:textId="77777777" w:rsidTr="00E27BF5">
        <w:tc>
          <w:tcPr>
            <w:tcW w:w="4703" w:type="dxa"/>
            <w:tcBorders>
              <w:top w:val="single" w:sz="6" w:space="0" w:color="FFFFFF"/>
              <w:left w:val="single" w:sz="6" w:space="0" w:color="FFFFFF"/>
              <w:bottom w:val="single" w:sz="6" w:space="0" w:color="FFFFFF"/>
              <w:right w:val="single" w:sz="6" w:space="0" w:color="FFFFFF"/>
            </w:tcBorders>
            <w:shd w:val="clear" w:color="auto" w:fill="92D050"/>
          </w:tcPr>
          <w:p w14:paraId="403554CA" w14:textId="77777777" w:rsidR="00FC6C68" w:rsidRDefault="00000000">
            <w:pPr>
              <w:spacing w:before="120" w:after="120"/>
            </w:pPr>
            <w:r>
              <w:rPr>
                <w:rFonts w:ascii="Calibri" w:hAnsi="Calibri"/>
                <w:b/>
                <w:color w:val="0A1A2E"/>
                <w:sz w:val="20"/>
              </w:rPr>
              <w:t>Exploitation</w:t>
            </w:r>
          </w:p>
        </w:tc>
        <w:tc>
          <w:tcPr>
            <w:tcW w:w="4703" w:type="dxa"/>
            <w:tcBorders>
              <w:top w:val="single" w:sz="6" w:space="0" w:color="FFFFFF"/>
              <w:left w:val="single" w:sz="6" w:space="0" w:color="FFFFFF"/>
              <w:bottom w:val="single" w:sz="6" w:space="0" w:color="FFFFFF"/>
              <w:right w:val="single" w:sz="6" w:space="0" w:color="FFFFFF"/>
            </w:tcBorders>
            <w:shd w:val="clear" w:color="auto" w:fill="92D050"/>
          </w:tcPr>
          <w:p w14:paraId="5902A7B7" w14:textId="77777777" w:rsidR="00FC6C68" w:rsidRDefault="00000000">
            <w:pPr>
              <w:spacing w:before="120" w:after="120"/>
            </w:pPr>
            <w:r>
              <w:rPr>
                <w:rFonts w:ascii="Calibri" w:hAnsi="Calibri"/>
                <w:color w:val="1A1A2E"/>
                <w:sz w:val="20"/>
              </w:rPr>
              <w:t>Simulate Metasploit console interaction and shell output as a step-through PHP interface.</w:t>
            </w:r>
          </w:p>
        </w:tc>
      </w:tr>
      <w:tr w:rsidR="00FC6C68" w14:paraId="4479F95F" w14:textId="77777777" w:rsidTr="00E27BF5">
        <w:tc>
          <w:tcPr>
            <w:tcW w:w="4703" w:type="dxa"/>
            <w:tcBorders>
              <w:top w:val="single" w:sz="6" w:space="0" w:color="FFFFFF"/>
              <w:left w:val="single" w:sz="6" w:space="0" w:color="FFFFFF"/>
              <w:bottom w:val="single" w:sz="6" w:space="0" w:color="FFFFFF"/>
              <w:right w:val="single" w:sz="6" w:space="0" w:color="FFFFFF"/>
            </w:tcBorders>
            <w:shd w:val="clear" w:color="auto" w:fill="92D050"/>
          </w:tcPr>
          <w:p w14:paraId="686F9B11" w14:textId="77777777" w:rsidR="00FC6C68" w:rsidRDefault="00000000">
            <w:pPr>
              <w:spacing w:before="120" w:after="120"/>
            </w:pPr>
            <w:r>
              <w:rPr>
                <w:rFonts w:ascii="Calibri" w:hAnsi="Calibri"/>
                <w:b/>
                <w:color w:val="0A1A2E"/>
                <w:sz w:val="20"/>
              </w:rPr>
              <w:t>Post-Exploitation</w:t>
            </w:r>
          </w:p>
        </w:tc>
        <w:tc>
          <w:tcPr>
            <w:tcW w:w="4703" w:type="dxa"/>
            <w:tcBorders>
              <w:top w:val="single" w:sz="6" w:space="0" w:color="FFFFFF"/>
              <w:left w:val="single" w:sz="6" w:space="0" w:color="FFFFFF"/>
              <w:bottom w:val="single" w:sz="6" w:space="0" w:color="FFFFFF"/>
              <w:right w:val="single" w:sz="6" w:space="0" w:color="FFFFFF"/>
            </w:tcBorders>
            <w:shd w:val="clear" w:color="auto" w:fill="92D050"/>
          </w:tcPr>
          <w:p w14:paraId="1C9CBFE2" w14:textId="77777777" w:rsidR="00FC6C68" w:rsidRDefault="00000000">
            <w:pPr>
              <w:spacing w:before="120" w:after="120"/>
            </w:pPr>
            <w:r>
              <w:rPr>
                <w:rFonts w:ascii="Calibri" w:hAnsi="Calibri"/>
                <w:color w:val="1A1A2E"/>
                <w:sz w:val="20"/>
              </w:rPr>
              <w:t>PHP simulations of Linux/Windows command-line environments where learners run enumeration commands and chain findings.</w:t>
            </w:r>
          </w:p>
        </w:tc>
      </w:tr>
      <w:tr w:rsidR="00FC6C68" w14:paraId="4CB2AF78" w14:textId="77777777">
        <w:tc>
          <w:tcPr>
            <w:tcW w:w="4703" w:type="dxa"/>
            <w:tcBorders>
              <w:top w:val="single" w:sz="6" w:space="0" w:color="FFFFFF"/>
              <w:left w:val="single" w:sz="6" w:space="0" w:color="FFFFFF"/>
              <w:bottom w:val="single" w:sz="6" w:space="0" w:color="FFFFFF"/>
              <w:right w:val="single" w:sz="6" w:space="0" w:color="FFFFFF"/>
            </w:tcBorders>
            <w:shd w:val="clear" w:color="auto" w:fill="F8F9FF"/>
          </w:tcPr>
          <w:p w14:paraId="16609B2A" w14:textId="77777777" w:rsidR="00FC6C68" w:rsidRDefault="00000000">
            <w:pPr>
              <w:spacing w:before="120" w:after="120"/>
            </w:pPr>
            <w:r>
              <w:rPr>
                <w:rFonts w:ascii="Calibri" w:hAnsi="Calibri"/>
                <w:b/>
                <w:color w:val="0A1A2E"/>
                <w:sz w:val="20"/>
              </w:rPr>
              <w:lastRenderedPageBreak/>
              <w:t>Reporting</w:t>
            </w:r>
          </w:p>
        </w:tc>
        <w:tc>
          <w:tcPr>
            <w:tcW w:w="4703" w:type="dxa"/>
            <w:tcBorders>
              <w:top w:val="single" w:sz="6" w:space="0" w:color="FFFFFF"/>
              <w:left w:val="single" w:sz="6" w:space="0" w:color="FFFFFF"/>
              <w:bottom w:val="single" w:sz="6" w:space="0" w:color="FFFFFF"/>
              <w:right w:val="single" w:sz="6" w:space="0" w:color="FFFFFF"/>
            </w:tcBorders>
            <w:shd w:val="clear" w:color="auto" w:fill="F8F9FF"/>
          </w:tcPr>
          <w:p w14:paraId="132D5215" w14:textId="77777777" w:rsidR="00FC6C68" w:rsidRDefault="00000000">
            <w:pPr>
              <w:spacing w:before="120" w:after="120"/>
            </w:pPr>
            <w:r>
              <w:rPr>
                <w:rFonts w:ascii="Calibri" w:hAnsi="Calibri"/>
                <w:color w:val="1A1A2E"/>
                <w:sz w:val="20"/>
              </w:rPr>
              <w:t>Structured write-up exercises where learners complete finding templates based on provided vulnerability data.</w:t>
            </w:r>
          </w:p>
        </w:tc>
      </w:tr>
    </w:tbl>
    <w:p w14:paraId="7E025F23" w14:textId="77777777" w:rsidR="00FC6C68" w:rsidRDefault="00FC6C68"/>
    <w:p w14:paraId="3C08CC08" w14:textId="77777777" w:rsidR="00FC6C68" w:rsidRDefault="00000000">
      <w:pPr>
        <w:spacing w:before="160" w:after="0"/>
      </w:pPr>
      <w:r>
        <w:rPr>
          <w:rFonts w:ascii="Calibri" w:hAnsi="Calibri"/>
          <w:i/>
          <w:color w:val="444466"/>
          <w:sz w:val="16"/>
        </w:rPr>
        <w:t>Version 1.0  ·  June 2026  ·  For internal planning use  ·  CYBRIXEN Platform</w:t>
      </w:r>
    </w:p>
    <w:sectPr w:rsidR="00FC6C68"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79557452">
    <w:abstractNumId w:val="8"/>
  </w:num>
  <w:num w:numId="2" w16cid:durableId="213278655">
    <w:abstractNumId w:val="6"/>
  </w:num>
  <w:num w:numId="3" w16cid:durableId="196431900">
    <w:abstractNumId w:val="5"/>
  </w:num>
  <w:num w:numId="4" w16cid:durableId="1683168376">
    <w:abstractNumId w:val="4"/>
  </w:num>
  <w:num w:numId="5" w16cid:durableId="1688557939">
    <w:abstractNumId w:val="7"/>
  </w:num>
  <w:num w:numId="6" w16cid:durableId="770466661">
    <w:abstractNumId w:val="3"/>
  </w:num>
  <w:num w:numId="7" w16cid:durableId="1410807424">
    <w:abstractNumId w:val="2"/>
  </w:num>
  <w:num w:numId="8" w16cid:durableId="551423666">
    <w:abstractNumId w:val="1"/>
  </w:num>
  <w:num w:numId="9" w16cid:durableId="54633693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70AB6"/>
    <w:rsid w:val="0015074B"/>
    <w:rsid w:val="00210DCE"/>
    <w:rsid w:val="00226A63"/>
    <w:rsid w:val="00231725"/>
    <w:rsid w:val="00265956"/>
    <w:rsid w:val="0029639D"/>
    <w:rsid w:val="002967DB"/>
    <w:rsid w:val="00326F90"/>
    <w:rsid w:val="00357497"/>
    <w:rsid w:val="00455486"/>
    <w:rsid w:val="004F7D20"/>
    <w:rsid w:val="00695B3D"/>
    <w:rsid w:val="00714DBA"/>
    <w:rsid w:val="007E36CE"/>
    <w:rsid w:val="008265A6"/>
    <w:rsid w:val="00A64C9D"/>
    <w:rsid w:val="00AA1D8D"/>
    <w:rsid w:val="00AB4290"/>
    <w:rsid w:val="00B47730"/>
    <w:rsid w:val="00C77C8D"/>
    <w:rsid w:val="00CB0664"/>
    <w:rsid w:val="00CE588F"/>
    <w:rsid w:val="00E27BF5"/>
    <w:rsid w:val="00E572EC"/>
    <w:rsid w:val="00F12245"/>
    <w:rsid w:val="00FC693F"/>
    <w:rsid w:val="00FC6C68"/>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9CA5FC5"/>
  <w14:defaultImageDpi w14:val="300"/>
  <w15:docId w15:val="{0EA693B0-FF59-4E8E-AA46-4FD3364096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2354</TotalTime>
  <Pages>11</Pages>
  <Words>2792</Words>
  <Characters>15921</Characters>
  <Application>Microsoft Office Word</Application>
  <DocSecurity>0</DocSecurity>
  <Lines>132</Lines>
  <Paragraphs>37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18676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Hafiz Ahmad Mujtaba</cp:lastModifiedBy>
  <cp:revision>16</cp:revision>
  <dcterms:created xsi:type="dcterms:W3CDTF">2013-12-23T23:15:00Z</dcterms:created>
  <dcterms:modified xsi:type="dcterms:W3CDTF">2026-07-07T06:24:00Z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212f0182-10f4-4625-a3b2-58a4c603c113</vt:lpwstr>
  </property>
</Properties>
</file>