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drawing>
          <wp:inline distT="0" distB="0" distL="0" distR="0">
            <wp:extent cx="495300" cy="49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0" w:line="288" w:lineRule="auto"/>
      </w:pPr>
      <w:r>
        <w:rPr>
          <w:rFonts w:ascii="Arial" w:cs="Arial" w:eastAsia="Arial" w:hAnsi="Arial"/>
          <w:b/>
          <w:bCs/>
          <w:color w:val="193448"/>
          <w:sz w:val="30"/>
          <w:szCs w:val="30"/>
        </w:rPr>
        <w:t xml:space="preserve">Secure By Design</w:t>
      </w:r>
    </w:p>
    <w:p>
      <w:pPr>
        <w:spacing w:after="900" w:before="0" w:line="288" w:lineRule="auto"/>
      </w:pPr>
      <w:r>
        <w:rPr>
          <w:rFonts w:ascii="Arial" w:cs="Arial" w:eastAsia="Arial" w:hAnsi="Arial"/>
          <w:color w:val="526B7E"/>
          <w:sz w:val="13"/>
          <w:szCs w:val="13"/>
        </w:rPr>
        <w:t xml:space="preserve">EDUCATE. EMPOWER. SECURE THE FUTURE.</w:t>
      </w:r>
    </w:p>
    <w:p>
      <w:pPr>
        <w:spacing w:after="200" w:before="0" w:line="288" w:lineRule="auto"/>
      </w:pPr>
      <w:r>
        <w:rPr>
          <w:rFonts w:ascii="Arial" w:cs="Arial" w:eastAsia="Arial" w:hAnsi="Arial"/>
          <w:b/>
          <w:bCs/>
          <w:color w:val="20647C"/>
          <w:sz w:val="16"/>
          <w:szCs w:val="16"/>
        </w:rPr>
        <w:t xml:space="preserve">COURSE 1.8    /    COMPANION WORKBOOK</w:t>
      </w:r>
    </w:p>
    <w:p>
      <w:pPr>
        <w:spacing w:after="160" w:before="80"/>
      </w:pPr>
      <w:r>
        <w:rPr>
          <w:rFonts w:ascii="Arial" w:cs="Arial" w:eastAsia="Arial" w:hAnsi="Arial"/>
          <w:b/>
          <w:bCs/>
          <w:color w:val="193448"/>
          <w:sz w:val="60"/>
          <w:szCs w:val="60"/>
        </w:rPr>
        <w:t xml:space="preserve">See everything: the logging pipeline</w:t>
      </w:r>
    </w:p>
    <w:p>
      <w:pPr>
        <w:spacing w:after="360" w:before="0" w:line="288" w:lineRule="auto"/>
      </w:pPr>
      <w:r>
        <w:rPr>
          <w:rFonts w:ascii="Arial" w:cs="Arial" w:eastAsia="Arial" w:hAnsi="Arial"/>
          <w:b/>
          <w:bCs/>
          <w:color w:val="20647C"/>
          <w:sz w:val="30"/>
          <w:szCs w:val="30"/>
        </w:rPr>
        <w:t xml:space="preserve">Collect, protect &amp; analyze before the fleet arrives</w:t>
      </w:r>
    </w:p>
    <w:p>
      <w:pPr>
        <w:spacing w:after="60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Build the model's collect → protect → analyze chain: Windows Event Forwarding and router syslog into SBD-SYSLOG01, hashed archives under a no-delete rule on SBD-AUDIT01, and working searches with one owned alert on SBD-SPLUNK01 — proven by a single event traced end to end.</w:t>
      </w:r>
    </w:p>
    <w:p>
      <w:pPr>
        <w:spacing w:after="80" w:before="0" w:line="288" w:lineRule="auto"/>
      </w:pPr>
      <w:r>
        <w:rPr>
          <w:rFonts w:ascii="Arial" w:cs="Arial" w:eastAsia="Arial" w:hAnsi="Arial"/>
          <w:color w:val="20647C"/>
          <w:sz w:val="16"/>
          <w:szCs w:val="16"/>
        </w:rPr>
        <w:t xml:space="preserve">MATERIALS EDITION 1.1    /    COURSE 1.8</w:t>
      </w:r>
    </w:p>
    <w:p>
      <w:pPr>
        <w:spacing w:after="80" w:before="0" w:line="288" w:lineRule="auto"/>
      </w:pPr>
      <w:r>
        <w:rPr>
          <w:rFonts w:ascii="Arial" w:cs="Arial" w:eastAsia="Arial" w:hAnsi="Arial"/>
          <w:color w:val="526B7E"/>
          <w:sz w:val="16"/>
          <w:szCs w:val="16"/>
        </w:rPr>
        <w:t xml:space="preserve">Updated 7 October 2026  ·  sbd-logging-pipeline</w:t>
      </w:r>
    </w:p>
    <w:p>
      <w:pPr>
        <w:spacing w:after="120" w:before="0" w:line="288" w:lineRule="auto"/>
      </w:pPr>
      <w:r>
        <w:rPr>
          <w:rFonts w:ascii="Arial" w:cs="Arial" w:eastAsia="Arial" w:hAnsi="Arial"/>
          <w:color w:val="526B7E"/>
          <w:sz w:val="16"/>
          <w:szCs w:val="16"/>
        </w:rPr>
        <w:t xml:space="preserve">NAME  ______________________    /    DATE  ______________</w:t>
      </w:r>
    </w:p>
    <w:p>
      <w:r>
        <w:br w:type="page"/>
      </w:r>
    </w:p>
    <w:p>
      <w:pPr>
        <w:spacing w:after="80" w:before="0" w:line="288" w:lineRule="auto"/>
      </w:pPr>
      <w:r>
        <w:rPr>
          <w:rFonts w:ascii="Arial" w:cs="Arial" w:eastAsia="Arial" w:hAnsi="Arial"/>
          <w:b/>
          <w:bCs/>
          <w:color w:val="20647C"/>
          <w:sz w:val="16"/>
          <w:szCs w:val="16"/>
        </w:rPr>
        <w:t xml:space="preserve">START HERE / YOUR LEARNING PATH</w:t>
      </w:r>
    </w:p>
    <w:p>
      <w:pPr>
        <w:pStyle w:val="Heading1"/>
        <w:spacing w:after="120"/>
      </w:pPr>
      <w:bookmarkStart w:name="toc-logging-pipeline" w:id="1"/>
      <w:r>
        <w:rPr>
          <w:rFonts w:ascii="Arial" w:cs="Arial" w:eastAsia="Arial" w:hAnsi="Arial"/>
          <w:b/>
          <w:bCs/>
          <w:color w:val="193448"/>
          <w:sz w:val="40"/>
          <w:szCs w:val="40"/>
        </w:rPr>
        <w:t xml:space="preserve">Table of contents</w:t>
      </w:r>
      <w:bookmarkEnd w:id="1"/>
    </w:p>
    <w:p>
      <w:p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Read each lesson alongside the interactive guide and the video. Use the record tables to write down what you actually observe — the workbook is your evidence, not the guide.</w:t>
      </w:r>
    </w:p>
    <w:p>
      <w:pPr>
        <w:spacing w:after="90" w:before="0" w:line="288" w:lineRule="auto"/>
      </w:pPr>
      <w:hyperlink w:history="1" w:anchor="before">
        <w:r>
          <w:rPr>
            <w:rFonts w:ascii="Arial" w:cs="Arial" w:eastAsia="Arial" w:hAnsi="Arial"/>
            <w:color w:val="20647C"/>
            <w:sz w:val="21"/>
            <w:szCs w:val="21"/>
          </w:rPr>
          <w:t xml:space="preserve">Before you start</w:t>
        </w:r>
      </w:hyperlink>
    </w:p>
    <w:p>
      <w:pPr>
        <w:spacing w:after="90" w:before="0" w:line="288" w:lineRule="auto"/>
      </w:pPr>
      <w:hyperlink w:history="1" w:anchor="lesson-design">
        <w:r>
          <w:rPr>
            <w:rFonts w:ascii="Arial" w:cs="Arial" w:eastAsia="Arial" w:hAnsi="Arial"/>
            <w:color w:val="20647C"/>
            <w:sz w:val="21"/>
            <w:szCs w:val="21"/>
          </w:rPr>
          <w:t xml:space="preserve">01  Design collect, protect, analyze</w:t>
        </w:r>
      </w:hyperlink>
    </w:p>
    <w:p>
      <w:pPr>
        <w:spacing w:after="90" w:before="0" w:line="288" w:lineRule="auto"/>
      </w:pPr>
      <w:hyperlink w:history="1" w:anchor="lesson-auditing">
        <w:r>
          <w:rPr>
            <w:rFonts w:ascii="Arial" w:cs="Arial" w:eastAsia="Arial" w:hAnsi="Arial"/>
            <w:color w:val="20647C"/>
            <w:sz w:val="21"/>
            <w:szCs w:val="21"/>
          </w:rPr>
          <w:t xml:space="preserve">02  Turn on the right auditing</w:t>
        </w:r>
      </w:hyperlink>
    </w:p>
    <w:p>
      <w:pPr>
        <w:spacing w:after="90" w:before="0" w:line="288" w:lineRule="auto"/>
      </w:pPr>
      <w:hyperlink w:history="1" w:anchor="lesson-collector">
        <w:r>
          <w:rPr>
            <w:rFonts w:ascii="Arial" w:cs="Arial" w:eastAsia="Arial" w:hAnsi="Arial"/>
            <w:color w:val="20647C"/>
            <w:sz w:val="21"/>
            <w:szCs w:val="21"/>
          </w:rPr>
          <w:t xml:space="preserve">03  Build the collector</w:t>
        </w:r>
      </w:hyperlink>
    </w:p>
    <w:p>
      <w:pPr>
        <w:spacing w:after="90" w:before="0" w:line="288" w:lineRule="auto"/>
      </w:pPr>
      <w:hyperlink w:history="1" w:anchor="lesson-protect">
        <w:r>
          <w:rPr>
            <w:rFonts w:ascii="Arial" w:cs="Arial" w:eastAsia="Arial" w:hAnsi="Arial"/>
            <w:color w:val="20647C"/>
            <w:sz w:val="21"/>
            <w:szCs w:val="21"/>
          </w:rPr>
          <w:t xml:space="preserve">04  Protect the record on SBD-AUDIT01</w:t>
        </w:r>
      </w:hyperlink>
    </w:p>
    <w:p>
      <w:pPr>
        <w:spacing w:after="90" w:before="0" w:line="288" w:lineRule="auto"/>
      </w:pPr>
      <w:hyperlink w:history="1" w:anchor="lesson-analyze">
        <w:r>
          <w:rPr>
            <w:rFonts w:ascii="Arial" w:cs="Arial" w:eastAsia="Arial" w:hAnsi="Arial"/>
            <w:color w:val="20647C"/>
            <w:sz w:val="21"/>
            <w:szCs w:val="21"/>
          </w:rPr>
          <w:t xml:space="preserve">05  Analyze in SBD-SPLUNK01</w:t>
        </w:r>
      </w:hyperlink>
    </w:p>
    <w:p>
      <w:pPr>
        <w:spacing w:after="90" w:before="0" w:line="288" w:lineRule="auto"/>
      </w:pPr>
      <w:hyperlink w:history="1" w:anchor="lesson-prove">
        <w:r>
          <w:rPr>
            <w:rFonts w:ascii="Arial" w:cs="Arial" w:eastAsia="Arial" w:hAnsi="Arial"/>
            <w:color w:val="20647C"/>
            <w:sz w:val="21"/>
            <w:szCs w:val="21"/>
          </w:rPr>
          <w:t xml:space="preserve">06  Prove the chain and delta scan</w:t>
        </w:r>
      </w:hyperlink>
    </w:p>
    <w:p>
      <w:pPr>
        <w:spacing w:after="90" w:before="0" w:line="288" w:lineRule="auto"/>
      </w:pPr>
      <w:hyperlink w:history="1" w:anchor="review">
        <w:r>
          <w:rPr>
            <w:rFonts w:ascii="Arial" w:cs="Arial" w:eastAsia="Arial" w:hAnsi="Arial"/>
            <w:color w:val="20647C"/>
            <w:sz w:val="21"/>
            <w:szCs w:val="21"/>
          </w:rPr>
          <w:t xml:space="preserve">Course review and sign-off</w:t>
        </w:r>
      </w:hyperlink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HOW TO USE IT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Each lesson page has the same shape: what you will learn, the build steps, the commands that verify them, and a record table. Fill the table from your own environment — never from the sample values.</w:t>
      </w:r>
    </w:p>
    <w:p>
      <w:r>
        <w:br w:type="page"/>
      </w:r>
    </w:p>
    <w:p>
      <w:pPr>
        <w:spacing w:after="80" w:before="0" w:line="288" w:lineRule="auto"/>
      </w:pPr>
      <w:r>
        <w:rPr>
          <w:rFonts w:ascii="Arial" w:cs="Arial" w:eastAsia="Arial" w:hAnsi="Arial"/>
          <w:b/>
          <w:bCs/>
          <w:color w:val="20647C"/>
          <w:sz w:val="16"/>
          <w:szCs w:val="16"/>
        </w:rPr>
        <w:t xml:space="preserve">COURSE 1.8 / PREREQUISITES</w:t>
      </w:r>
    </w:p>
    <w:p>
      <w:pPr>
        <w:pStyle w:val="Heading1"/>
        <w:spacing w:after="120"/>
      </w:pPr>
      <w:bookmarkStart w:name="before" w:id="2"/>
      <w:r>
        <w:rPr>
          <w:rFonts w:ascii="Arial" w:cs="Arial" w:eastAsia="Arial" w:hAnsi="Arial"/>
          <w:b/>
          <w:bCs/>
          <w:color w:val="193448"/>
          <w:sz w:val="40"/>
          <w:szCs w:val="40"/>
        </w:rPr>
        <w:t xml:space="preserve">Before you start</w:t>
      </w:r>
      <w:bookmarkEnd w:id="2"/>
    </w:p>
    <w:p>
      <w:p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This course builds the model's collect → protect → analyze chain before the fleet arrives, so every later system is observed from its first boot. Collection is configuration you can show; protection is permissions and retention you can defend; analysis is a search someone actually runs.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Prerequisites</w:t>
      </w:r>
    </w:p>
    <w:p>
      <w:pPr>
        <w:pStyle w:val="ListParagraph"/>
        <w:numPr>
          <w:ilvl w:val="0"/>
          <w:numId w:val="2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Complete course 1.7: the admin plane exists, and this course's systems are managed only from VLAN 60.</w:t>
      </w:r>
    </w:p>
    <w:p>
      <w:pPr>
        <w:pStyle w:val="ListParagraph"/>
        <w:numPr>
          <w:ilvl w:val="0"/>
          <w:numId w:val="2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Provision SBD-SYSLOG01 (10.0.20.20) as Windows Server 2025, SBD-SPLUNK01 (10.0.50.10) on Linux joined to the sbd.test domain, and SBD-AUDIT01 (10.0.50.40) per your platform plan for the repository role.</w:t>
      </w:r>
    </w:p>
    <w:p>
      <w:pPr>
        <w:pStyle w:val="ListParagraph"/>
        <w:numPr>
          <w:ilvl w:val="0"/>
          <w:numId w:val="2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Have the course 1.5 register ready for the new rows: event forwarding to the collector, syslog from the core router, and the forwarder path into the analysis system.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What this course builds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Forward the DC, admin-plane, and router-deny records into one collector by subscription.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Protect the archive with hash catalogs, named readers, and delete-by-process-only.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Prove the chain by tracing one event from source to analyst, with an owned alert.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Systems in scope</w:t>
      </w:r>
    </w:p>
    <w:tbl>
      <w:tblPr>
        <w:tblW w:type="dxa" w:w="9360"/>
        <w:tblBorders>
          <w:top w:val="single" w:color="C7D9E2" w:sz="4"/>
          <w:left w:val="single" w:color="C7D9E2" w:sz="4"/>
          <w:bottom w:val="single" w:color="C7D9E2" w:sz="4"/>
          <w:right w:val="single" w:color="C7D9E2" w:sz="4"/>
          <w:insideH w:val="single" w:color="C7D9E2" w:sz="4"/>
          <w:insideV w:val="single" w:color="C7D9E2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RECORD</w:t>
            </w:r>
          </w:p>
        </w:tc>
        <w:tc>
          <w:tcPr>
            <w:tcW w:type="dxa" w:w="636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YOUR OBSERVATION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SBD-SYSLOG01 — name, address, OS build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SBD-AUDIT01 — name, address, OS build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SBD-SPLUNK01 — name, address, OS build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80" w:before="0" w:line="288" w:lineRule="auto"/>
      </w:pPr>
      <w:r>
        <w:rPr>
          <w:rFonts w:ascii="Arial" w:cs="Arial" w:eastAsia="Arial" w:hAnsi="Arial"/>
          <w:b/>
          <w:bCs/>
          <w:color w:val="20647C"/>
          <w:sz w:val="16"/>
          <w:szCs w:val="16"/>
        </w:rPr>
        <w:t xml:space="preserve">LESSON 01  /  ABOUT 20 MIN</w:t>
      </w:r>
    </w:p>
    <w:p>
      <w:pPr>
        <w:pStyle w:val="Heading1"/>
        <w:spacing w:after="120"/>
      </w:pPr>
      <w:bookmarkStart w:name="lesson-design" w:id="3"/>
      <w:r>
        <w:rPr>
          <w:rFonts w:ascii="Arial" w:cs="Arial" w:eastAsia="Arial" w:hAnsi="Arial"/>
          <w:b/>
          <w:bCs/>
          <w:color w:val="193448"/>
          <w:sz w:val="40"/>
          <w:szCs w:val="40"/>
        </w:rPr>
        <w:t xml:space="preserve">Design collect, protect, analyze</w:t>
      </w:r>
      <w:bookmarkEnd w:id="3"/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WHY THIS MATTERS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Three systems, three distinct jobs: SBD-SYSLOG01 gathers, SBD-AUDIT01 preserves, SBD-SPLUNK01 answers questions. Decide what is collected first, how long it lives, and who may touch which stage — before a single event flows.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In this lesson you will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Assign the three roles and the first collection scope.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Decide retention, protection, and access per stage.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Register the pipeline's network paths.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Follow the build</w:t>
      </w:r>
    </w:p>
    <w:p>
      <w:pPr>
        <w:pStyle w:val="ListParagraph"/>
        <w:numPr>
          <w:ilvl w:val="0"/>
          <w:numId w:val="4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Write the role sentence for each host: the collector receives Windows events and the core router's syslog; the repository holds the protected, long-retention copy; the analysis system indexes a working copy for search and alerting. One copy to keep, one copy to question.</w:t>
      </w:r>
    </w:p>
    <w:p>
      <w:pPr>
        <w:pStyle w:val="ListParagraph"/>
        <w:numPr>
          <w:ilvl w:val="0"/>
          <w:numId w:val="4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Scope the first collection to what already produces evidence: both DCs' Security logs, the core router's deny log from course 1.5, and the admin hosts' sign-in events — the fleet joins this scope in the next course, not now.</w:t>
      </w:r>
    </w:p>
    <w:p>
      <w:pPr>
        <w:pStyle w:val="ListParagraph"/>
        <w:numPr>
          <w:ilvl w:val="0"/>
          <w:numId w:val="4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Decide the AU-family answers and write them down: retention length per stage, who may read each stage, and that nobody — including administrators — writes or deletes in the repository outside the archival process (that is the AU-9 protection story).</w:t>
      </w:r>
    </w:p>
    <w:p>
      <w:pPr>
        <w:pStyle w:val="ListParagraph"/>
        <w:numPr>
          <w:ilvl w:val="0"/>
          <w:numId w:val="4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Add the register rows: DC and admin-host event forwarding to the collector (WinRM 5985), router syslog UDP 514 to the collector, and the forwarder path from collector to the analysis system; all three systems are managed only from VLAN 60 per course 1.7's handoff.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Check your result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# Capture the before state: what the DCs currently audit and where nothing is forwarded yet.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auditpol /get /category:* | Select-String 'Logon|Account Management|Directory Service|Policy Change'</w:t>
      </w:r>
    </w:p>
    <w:p>
      <w:pPr>
        <w:shd w:fill="F1F7FA" w:color="auto" w:val="clear"/>
        <w:spacing w:after="16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Get-Service Wecsvc -ComputerName SBD-SYSLOG01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WHAT SUCCESS LOOKS LIKE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The design names each stage's job, scope, retention, and readers; the repository's no-delete rule is written; and the register carries the three pipeline paths with owners.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Your record</w:t>
      </w:r>
    </w:p>
    <w:p>
      <w:pPr>
        <w:spacing w:after="16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Evidence to keep: Keep the pipeline design sheet, the retention and access table, and the new register rows.</w:t>
      </w:r>
    </w:p>
    <w:tbl>
      <w:tblPr>
        <w:tblW w:type="dxa" w:w="9360"/>
        <w:tblBorders>
          <w:top w:val="single" w:color="C7D9E2" w:sz="4"/>
          <w:left w:val="single" w:color="C7D9E2" w:sz="4"/>
          <w:bottom w:val="single" w:color="C7D9E2" w:sz="4"/>
          <w:right w:val="single" w:color="C7D9E2" w:sz="4"/>
          <w:insideH w:val="single" w:color="C7D9E2" w:sz="4"/>
          <w:insideV w:val="single" w:color="C7D9E2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RECORD</w:t>
            </w:r>
          </w:p>
        </w:tc>
        <w:tc>
          <w:tcPr>
            <w:tcW w:type="dxa" w:w="636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YOUR OBSERVATION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Host(s) and time collected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Observed result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Differences from the plan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Evidence file names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Open items or findings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Think it through</w:t>
      </w:r>
    </w:p>
    <w:p>
      <w:pPr>
        <w:spacing w:after="12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Why separate the repository from the analysis system?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REMEMBER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Collector gathers, repository preserves, analysis answers.  Scope starts with the DCs, the router denies, and the admin plane.  Retention, readers, and the no-delete rule are written; paths are registered.</w:t>
      </w:r>
    </w:p>
    <w:p>
      <w:pPr>
        <w:spacing w:after="60" w:before="0" w:line="288" w:lineRule="auto"/>
      </w:pPr>
      <w:hyperlink w:history="1" r:id="rIdysvcji9daitevq99uwv4n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Microsoft · Use Windows Event Forwarding to help with intrusion detection</w:t>
        </w:r>
      </w:hyperlink>
    </w:p>
    <w:p>
      <w:pPr>
        <w:spacing w:after="60" w:before="0" w:line="288" w:lineRule="auto"/>
      </w:pPr>
      <w:hyperlink w:history="1" r:id="rId3zrux7pqwtss_ert8ociy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NIST · SP 800-53 Rev. 5 security controls (AU family)</w:t>
        </w:r>
      </w:hyperlink>
    </w:p>
    <w:p>
      <w:r>
        <w:br w:type="page"/>
      </w:r>
    </w:p>
    <w:p>
      <w:pPr>
        <w:spacing w:after="80" w:before="0" w:line="288" w:lineRule="auto"/>
      </w:pPr>
      <w:r>
        <w:rPr>
          <w:rFonts w:ascii="Arial" w:cs="Arial" w:eastAsia="Arial" w:hAnsi="Arial"/>
          <w:b/>
          <w:bCs/>
          <w:color w:val="20647C"/>
          <w:sz w:val="16"/>
          <w:szCs w:val="16"/>
        </w:rPr>
        <w:t xml:space="preserve">LESSON 02  /  ABOUT 25 MIN</w:t>
      </w:r>
    </w:p>
    <w:p>
      <w:pPr>
        <w:pStyle w:val="Heading1"/>
        <w:spacing w:after="120"/>
      </w:pPr>
      <w:bookmarkStart w:name="lesson-auditing" w:id="4"/>
      <w:r>
        <w:rPr>
          <w:rFonts w:ascii="Arial" w:cs="Arial" w:eastAsia="Arial" w:hAnsi="Arial"/>
          <w:b/>
          <w:bCs/>
          <w:color w:val="193448"/>
          <w:sz w:val="40"/>
          <w:szCs w:val="40"/>
        </w:rPr>
        <w:t xml:space="preserve">Turn on the right auditing</w:t>
      </w:r>
      <w:bookmarkEnd w:id="4"/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WHY THIS MATTERS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Forwarding garbage faster is not monitoring. Set the advanced audit policy so the events that tell the network's story — sign-ins, account changes, directory changes, policy changes — actually get written.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In this lesson you will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Apply the advanced audit policy categories the design needs.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Reconcile audit settings with the course 1.3 STIG values.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Verify effective auditing on the DCs and admin hosts.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Follow the build</w:t>
      </w:r>
    </w:p>
    <w:p>
      <w:pPr>
        <w:pStyle w:val="ListParagraph"/>
        <w:numPr>
          <w:ilvl w:val="0"/>
          <w:numId w:val="5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Review what the DISA GPOs from course 1.3 already audit — much of the advanced audit policy arrived with the STIGs. This lesson reconciles and fills gaps rather than starting over.</w:t>
      </w:r>
    </w:p>
    <w:p>
      <w:pPr>
        <w:pStyle w:val="ListParagraph"/>
        <w:numPr>
          <w:ilvl w:val="0"/>
          <w:numId w:val="5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Confirm the categories the design depends on are at least at the STIG values on the DCs: Logon/Logoff, Account Management, Directory Service Changes, and Policy Change — success and failure where the design says so.</w:t>
      </w:r>
    </w:p>
    <w:p>
      <w:pPr>
        <w:pStyle w:val="ListParagraph"/>
        <w:numPr>
          <w:ilvl w:val="0"/>
          <w:numId w:val="5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Extend the same policy to the admin hosts' OU so privileged sessions write the sign-in trail lesson 5 of course 1.7 started capturing by hand.</w:t>
      </w:r>
    </w:p>
    <w:p>
      <w:pPr>
        <w:pStyle w:val="ListParagraph"/>
        <w:numPr>
          <w:ilvl w:val="0"/>
          <w:numId w:val="5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Any place this course wants more auditing than the STIG sets, make it a documented addition in the GPO structure — never a local, invisible tweak — and note it in the exception/addition record.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Check your result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auditpol /get /subcategory:'Logon','User Account Management','Directory Service Changes','Audit Policy Change'</w:t>
      </w:r>
    </w:p>
    <w:p>
      <w:pPr>
        <w:shd w:fill="F1F7FA" w:color="auto" w:val="clear"/>
        <w:spacing w:after="16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gpresult /r /scope:computer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WHAT SUCCESS LOOKS LIKE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Effective audit policy on the DCs and admin hosts covers the designed categories at or above the STIG values, applied through GPO, with any additions documented.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Your record</w:t>
      </w:r>
    </w:p>
    <w:p>
      <w:pPr>
        <w:spacing w:after="16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Evidence to keep: Keep the auditpol output per host class, the GPO report, and the documented additions.</w:t>
      </w:r>
    </w:p>
    <w:tbl>
      <w:tblPr>
        <w:tblW w:type="dxa" w:w="9360"/>
        <w:tblBorders>
          <w:top w:val="single" w:color="C7D9E2" w:sz="4"/>
          <w:left w:val="single" w:color="C7D9E2" w:sz="4"/>
          <w:bottom w:val="single" w:color="C7D9E2" w:sz="4"/>
          <w:right w:val="single" w:color="C7D9E2" w:sz="4"/>
          <w:insideH w:val="single" w:color="C7D9E2" w:sz="4"/>
          <w:insideV w:val="single" w:color="C7D9E2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RECORD</w:t>
            </w:r>
          </w:p>
        </w:tc>
        <w:tc>
          <w:tcPr>
            <w:tcW w:type="dxa" w:w="636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YOUR OBSERVATION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Host(s) and time collected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Observed result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Differences from the plan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Evidence file names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Open items or findings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Think it through</w:t>
      </w:r>
    </w:p>
    <w:p>
      <w:pPr>
        <w:spacing w:after="12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Why start from the course 1.3 GPOs instead of a fresh audit policy?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REMEMBER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Audit policy is reconciled with the STIG baseline, not reinvented.  DCs and admin hosts write the designed event families.  Additions are GPO-visible and documented.</w:t>
      </w:r>
    </w:p>
    <w:p>
      <w:pPr>
        <w:spacing w:after="60" w:before="0" w:line="288" w:lineRule="auto"/>
      </w:pPr>
      <w:hyperlink w:history="1" r:id="rId9gpry76lypf0lx1dhb45m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Microsoft · Use Windows Event Forwarding to help with intrusion detection</w:t>
        </w:r>
      </w:hyperlink>
    </w:p>
    <w:p>
      <w:pPr>
        <w:spacing w:after="60" w:before="0" w:line="288" w:lineRule="auto"/>
      </w:pPr>
      <w:hyperlink w:history="1" r:id="rIdqdgkfiydbzjix2idbgghw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Microsoft · Auditpol</w:t>
        </w:r>
      </w:hyperlink>
    </w:p>
    <w:p>
      <w:r>
        <w:br w:type="page"/>
      </w:r>
    </w:p>
    <w:p>
      <w:pPr>
        <w:spacing w:after="80" w:before="0" w:line="288" w:lineRule="auto"/>
      </w:pPr>
      <w:r>
        <w:rPr>
          <w:rFonts w:ascii="Arial" w:cs="Arial" w:eastAsia="Arial" w:hAnsi="Arial"/>
          <w:b/>
          <w:bCs/>
          <w:color w:val="20647C"/>
          <w:sz w:val="16"/>
          <w:szCs w:val="16"/>
        </w:rPr>
        <w:t xml:space="preserve">LESSON 03  /  ABOUT 30 MIN</w:t>
      </w:r>
    </w:p>
    <w:p>
      <w:pPr>
        <w:pStyle w:val="Heading1"/>
        <w:spacing w:after="120"/>
      </w:pPr>
      <w:bookmarkStart w:name="lesson-collector" w:id="5"/>
      <w:r>
        <w:rPr>
          <w:rFonts w:ascii="Arial" w:cs="Arial" w:eastAsia="Arial" w:hAnsi="Arial"/>
          <w:b/>
          <w:bCs/>
          <w:color w:val="193448"/>
          <w:sz w:val="40"/>
          <w:szCs w:val="40"/>
        </w:rPr>
        <w:t xml:space="preserve">Build the collector</w:t>
      </w:r>
      <w:bookmarkEnd w:id="5"/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WHY THIS MATTERS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SBD-SYSLOG01 becomes the funnel: Windows Event Forwarding brings the DC and admin-host events in by subscription, and the core router's denies arrive as syslog — one host where the network's record first lands.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In this lesson you will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Configure the Windows Event Collector service and subscription.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Point the source hosts at the collector by GPO.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Receive the router's syslog deny stream.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Follow the build</w:t>
      </w:r>
    </w:p>
    <w:p>
      <w:pPr>
        <w:pStyle w:val="ListParagraph"/>
        <w:numPr>
          <w:ilvl w:val="0"/>
          <w:numId w:val="6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On SBD-SYSLOG01, enable the Windows Event Collector service and create a source-initiated subscription for the designed event IDs from the DCs and admin hosts, delivered into the Forwarded Events log.</w:t>
      </w:r>
    </w:p>
    <w:p>
      <w:pPr>
        <w:pStyle w:val="ListParagraph"/>
        <w:numPr>
          <w:ilvl w:val="0"/>
          <w:numId w:val="6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By GPO on the relevant OUs, set the subscription manager to the collector and grant the Network Service read access to the Security log — the sources push; the collector never reaches into them.</w:t>
      </w:r>
    </w:p>
    <w:p>
      <w:pPr>
        <w:pStyle w:val="ListParagraph"/>
        <w:numPr>
          <w:ilvl w:val="0"/>
          <w:numId w:val="6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Add a syslog intake on the collector for UDP 514 and point the core router's deny logging at it, so course 1.5's boundary decisions land beside the Windows record.</w:t>
      </w:r>
    </w:p>
    <w:p>
      <w:pPr>
        <w:pStyle w:val="ListParagraph"/>
        <w:numPr>
          <w:ilvl w:val="0"/>
          <w:numId w:val="6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Confirm the register rows are the only paths in use: WinRM from the source OUs to the collector, syslog from the core, and nothing listening that the design didn't ask for.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Check your result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wecutil es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wecutil gs SBD-ForwardedSecurity</w:t>
      </w:r>
    </w:p>
    <w:p>
      <w:pPr>
        <w:shd w:fill="F1F7FA" w:color="auto" w:val="clear"/>
        <w:spacing w:after="16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Get-WinEvent -LogName ForwardedEvents -MaxEvents 5 | Select-Object TimeCreated, Id, MachineName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WHAT SUCCESS LOOKS LIKE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The subscription is active, events from both DCs and the admin hosts appear in Forwarded Events with correct source machine names, and router deny entries arrive on the syslog intake.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Your record</w:t>
      </w:r>
    </w:p>
    <w:p>
      <w:pPr>
        <w:spacing w:after="16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Evidence to keep: Record the subscription configuration, the GPO that enrolls sources, the first forwarded events per source, and a received router deny entry.</w:t>
      </w:r>
    </w:p>
    <w:tbl>
      <w:tblPr>
        <w:tblW w:type="dxa" w:w="9360"/>
        <w:tblBorders>
          <w:top w:val="single" w:color="C7D9E2" w:sz="4"/>
          <w:left w:val="single" w:color="C7D9E2" w:sz="4"/>
          <w:bottom w:val="single" w:color="C7D9E2" w:sz="4"/>
          <w:right w:val="single" w:color="C7D9E2" w:sz="4"/>
          <w:insideH w:val="single" w:color="C7D9E2" w:sz="4"/>
          <w:insideV w:val="single" w:color="C7D9E2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RECORD</w:t>
            </w:r>
          </w:p>
        </w:tc>
        <w:tc>
          <w:tcPr>
            <w:tcW w:type="dxa" w:w="636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YOUR OBSERVATION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Host(s) and time collected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Observed result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Differences from the plan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Evidence file names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Open items or findings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Think it through</w:t>
      </w:r>
    </w:p>
    <w:p>
      <w:pPr>
        <w:spacing w:after="12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Why source-initiated subscriptions rather than the collector pulling?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REMEMBER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Sources push by subscription; the collector reaches into nothing.  DC, admin-host, and router records land in one place.  Only registered paths carry the pipeline.</w:t>
      </w:r>
    </w:p>
    <w:p>
      <w:pPr>
        <w:spacing w:after="60" w:before="0" w:line="288" w:lineRule="auto"/>
      </w:pPr>
      <w:hyperlink w:history="1" r:id="rIdahlubgifdaqmzh0o9lgqs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Microsoft · Use Windows Event Forwarding to help with intrusion detection</w:t>
        </w:r>
      </w:hyperlink>
    </w:p>
    <w:p>
      <w:pPr>
        <w:spacing w:after="60" w:before="0" w:line="288" w:lineRule="auto"/>
      </w:pPr>
      <w:hyperlink w:history="1" r:id="rIdvup-npqmaznz94mjhi6kg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Microsoft · Wecutil (Windows Event Collector)</w:t>
        </w:r>
      </w:hyperlink>
    </w:p>
    <w:p>
      <w:r>
        <w:br w:type="page"/>
      </w:r>
    </w:p>
    <w:p>
      <w:pPr>
        <w:spacing w:after="80" w:before="0" w:line="288" w:lineRule="auto"/>
      </w:pPr>
      <w:r>
        <w:rPr>
          <w:rFonts w:ascii="Arial" w:cs="Arial" w:eastAsia="Arial" w:hAnsi="Arial"/>
          <w:b/>
          <w:bCs/>
          <w:color w:val="20647C"/>
          <w:sz w:val="16"/>
          <w:szCs w:val="16"/>
        </w:rPr>
        <w:t xml:space="preserve">LESSON 04  /  ABOUT 25 MIN</w:t>
      </w:r>
    </w:p>
    <w:p>
      <w:pPr>
        <w:pStyle w:val="Heading1"/>
        <w:spacing w:after="120"/>
      </w:pPr>
      <w:bookmarkStart w:name="lesson-protect" w:id="6"/>
      <w:r>
        <w:rPr>
          <w:rFonts w:ascii="Arial" w:cs="Arial" w:eastAsia="Arial" w:hAnsi="Arial"/>
          <w:b/>
          <w:bCs/>
          <w:color w:val="193448"/>
          <w:sz w:val="40"/>
          <w:szCs w:val="40"/>
        </w:rPr>
        <w:t xml:space="preserve">Protect the record on SBD-AUDIT01</w:t>
      </w:r>
      <w:bookmarkEnd w:id="6"/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WHY THIS MATTERS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The repository is where the record outlives mistakes and attackers alike: scheduled archives from the collector, hashed on arrival, readable by few, deletable by process only.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In this lesson you will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Archive the collector's logs to the repository on schedule.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Hash and catalog every archive on arrival.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Enforce the read-few, delete-by-process-only access model.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Follow the build</w:t>
      </w:r>
    </w:p>
    <w:p>
      <w:pPr>
        <w:pStyle w:val="ListParagraph"/>
        <w:numPr>
          <w:ilvl w:val="0"/>
          <w:numId w:val="7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Create the archival job: on schedule, the collector exports its Forwarded Events and syslog intake to dated archive files and transfers them to SBD-AUDIT01's repository share — the only inbound write path the repository allows.</w:t>
      </w:r>
    </w:p>
    <w:p>
      <w:pPr>
        <w:pStyle w:val="ListParagraph"/>
        <w:numPr>
          <w:ilvl w:val="0"/>
          <w:numId w:val="7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On arrival, hash each archive and append the hash to a catalog kept with the archives; an archive whose hash no longer matches is a finding, not a file.</w:t>
      </w:r>
    </w:p>
    <w:p>
      <w:pPr>
        <w:pStyle w:val="ListParagraph"/>
        <w:numPr>
          <w:ilvl w:val="0"/>
          <w:numId w:val="7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Set the permissions to match lesson 1's decision: the archival process writes, a named auditors group reads, and no interactive account holds delete rights — retention-driven deletion runs as its own documented, logged process, administered only under the audit custodian's separate accounts.</w:t>
      </w:r>
    </w:p>
    <w:p>
      <w:pPr>
        <w:pStyle w:val="ListParagraph"/>
        <w:numPr>
          <w:ilvl w:val="0"/>
          <w:numId w:val="7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Fill in the AU table with what now exists: where each stage's data lives, its retention clock, and who can touch it — this table is the artifact course 2.2 will file.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Check your result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Get-ChildItem \\SBD-AUDIT01\LogArchive | Select-Object Name, Length, LastWriteTime -First 5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Get-FileHash -Algorithm SHA256 \\SBD-AUDIT01\LogArchive\*.evtx | Select-Object -First 3</w:t>
      </w:r>
    </w:p>
    <w:p>
      <w:pPr>
        <w:shd w:fill="F1F7FA" w:color="auto" w:val="clear"/>
        <w:spacing w:after="16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icacls \\SBD-AUDIT01\LogArchive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WHAT SUCCESS LOOKS LIKE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Dated archives arrive on schedule with catalog hashes that verify, the permission listing matches the access model exactly, and the AU table reflects reality.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Your record</w:t>
      </w:r>
    </w:p>
    <w:p>
      <w:pPr>
        <w:spacing w:after="16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Evidence to keep: Keep the archival job definition, the hash catalog excerpt, the permissions output, and the completed AU table.</w:t>
      </w:r>
    </w:p>
    <w:tbl>
      <w:tblPr>
        <w:tblW w:type="dxa" w:w="9360"/>
        <w:tblBorders>
          <w:top w:val="single" w:color="C7D9E2" w:sz="4"/>
          <w:left w:val="single" w:color="C7D9E2" w:sz="4"/>
          <w:bottom w:val="single" w:color="C7D9E2" w:sz="4"/>
          <w:right w:val="single" w:color="C7D9E2" w:sz="4"/>
          <w:insideH w:val="single" w:color="C7D9E2" w:sz="4"/>
          <w:insideV w:val="single" w:color="C7D9E2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RECORD</w:t>
            </w:r>
          </w:p>
        </w:tc>
        <w:tc>
          <w:tcPr>
            <w:tcW w:type="dxa" w:w="636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YOUR OBSERVATION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Host(s) and time collected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Observed result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Differences from the plan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Evidence file names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Open items or findings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Think it through</w:t>
      </w:r>
    </w:p>
    <w:p>
      <w:pPr>
        <w:spacing w:after="12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What does the hash catalog actually protect against?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REMEMBER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Archives land on schedule and prove their own integrity.  Readers are named; deletion is a process, not a right.  The AU table is written for the authorization path.</w:t>
      </w:r>
    </w:p>
    <w:p>
      <w:pPr>
        <w:spacing w:after="60" w:before="0" w:line="288" w:lineRule="auto"/>
      </w:pPr>
      <w:hyperlink w:history="1" r:id="rId15hfitwzcbz0vivpg2qqx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Microsoft · Wecutil (Windows Event Collector)</w:t>
        </w:r>
      </w:hyperlink>
    </w:p>
    <w:p>
      <w:pPr>
        <w:spacing w:after="60" w:before="0" w:line="288" w:lineRule="auto"/>
      </w:pPr>
      <w:hyperlink w:history="1" r:id="rIdgfuddeeoseqhn6r0udt5w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NIST · SP 800-53 Rev. 5 security controls (AU family)</w:t>
        </w:r>
      </w:hyperlink>
    </w:p>
    <w:p>
      <w:r>
        <w:br w:type="page"/>
      </w:r>
    </w:p>
    <w:p>
      <w:pPr>
        <w:spacing w:after="80" w:before="0" w:line="288" w:lineRule="auto"/>
      </w:pPr>
      <w:r>
        <w:rPr>
          <w:rFonts w:ascii="Arial" w:cs="Arial" w:eastAsia="Arial" w:hAnsi="Arial"/>
          <w:b/>
          <w:bCs/>
          <w:color w:val="20647C"/>
          <w:sz w:val="16"/>
          <w:szCs w:val="16"/>
        </w:rPr>
        <w:t xml:space="preserve">LESSON 05  /  ABOUT 30 MIN</w:t>
      </w:r>
    </w:p>
    <w:p>
      <w:pPr>
        <w:pStyle w:val="Heading1"/>
        <w:spacing w:after="120"/>
      </w:pPr>
      <w:bookmarkStart w:name="lesson-analyze" w:id="7"/>
      <w:r>
        <w:rPr>
          <w:rFonts w:ascii="Arial" w:cs="Arial" w:eastAsia="Arial" w:hAnsi="Arial"/>
          <w:b/>
          <w:bCs/>
          <w:color w:val="193448"/>
          <w:sz w:val="40"/>
          <w:szCs w:val="40"/>
        </w:rPr>
        <w:t xml:space="preserve">Analyze in SBD-SPLUNK01</w:t>
      </w:r>
      <w:bookmarkEnd w:id="7"/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WHY THIS MATTERS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Analysis earns its place with three working searches and one alert: failed privileged sign-ins, the boundary's denies, and the health of time — questions this network can already answer about itself.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In this lesson you will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Index the collector's streams into the analysis system.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Build the first three searches against real events.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Create one alert with a named responder.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Follow the build</w:t>
      </w:r>
    </w:p>
    <w:p>
      <w:pPr>
        <w:pStyle w:val="ListParagraph"/>
        <w:numPr>
          <w:ilvl w:val="0"/>
          <w:numId w:val="8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Install the analysis platform on SBD-SPLUNK01 and bring in the collector's two streams — the forwarded Windows events and the router syslog — over the registered forwarder path; the repository stays out of this flow by design.</w:t>
      </w:r>
    </w:p>
    <w:p>
      <w:pPr>
        <w:pStyle w:val="ListParagraph"/>
        <w:numPr>
          <w:ilvl w:val="0"/>
          <w:numId w:val="8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Build search one: failed sign-ins (event 4625) involving the tier admin accounts, grouped by source host — the tiering course's denials now have a dashboard.</w:t>
      </w:r>
    </w:p>
    <w:p>
      <w:pPr>
        <w:pStyle w:val="ListParagraph"/>
        <w:numPr>
          <w:ilvl w:val="0"/>
          <w:numId w:val="8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Build search two: router denies by source VLAN and destination port — course 1.5's boundary, now trending; and search three: time-service events and offsets, so clock drift surfaces before Kerberos complains.</w:t>
      </w:r>
    </w:p>
    <w:p>
      <w:pPr>
        <w:pStyle w:val="ListParagraph"/>
        <w:numPr>
          <w:ilvl w:val="0"/>
          <w:numId w:val="8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Turn the first search into an alert with a threshold, a named responder from the admin plane, and a written first-response step — an alert nobody owns is a log entry with extra steps. Console access to all of this: VLAN 60 only, per the handoff.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Check your result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Test-NetConnection SBD-SPLUNK01.sbd.test -Port 9997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# In the analysis console, confirm the three saved searches return today's events</w:t>
      </w:r>
    </w:p>
    <w:p>
      <w:pPr>
        <w:shd w:fill="F1F7FA" w:color="auto" w:val="clear"/>
        <w:spacing w:after="16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Get-WinEvent -FilterHashtable @{LogName='Security';Id=4625} -MaxEvents 3 | Select-Object TimeCreated, MachineName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WHAT SUCCESS LOOKS LIKE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Both streams index with correct timestamps, the three searches return real current events, and the alert fires in a test with its responder and first step documented.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Your record</w:t>
      </w:r>
    </w:p>
    <w:p>
      <w:pPr>
        <w:spacing w:after="16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Evidence to keep: Record the input configuration, each search with a result sample, and the alert definition with its responder.</w:t>
      </w:r>
    </w:p>
    <w:tbl>
      <w:tblPr>
        <w:tblW w:type="dxa" w:w="9360"/>
        <w:tblBorders>
          <w:top w:val="single" w:color="C7D9E2" w:sz="4"/>
          <w:left w:val="single" w:color="C7D9E2" w:sz="4"/>
          <w:bottom w:val="single" w:color="C7D9E2" w:sz="4"/>
          <w:right w:val="single" w:color="C7D9E2" w:sz="4"/>
          <w:insideH w:val="single" w:color="C7D9E2" w:sz="4"/>
          <w:insideV w:val="single" w:color="C7D9E2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RECORD</w:t>
            </w:r>
          </w:p>
        </w:tc>
        <w:tc>
          <w:tcPr>
            <w:tcW w:type="dxa" w:w="636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YOUR OBSERVATION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Host(s) and time collected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Observed result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Differences from the plan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Evidence file names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Open items or findings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Think it through</w:t>
      </w:r>
    </w:p>
    <w:p>
      <w:pPr>
        <w:spacing w:after="12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Why does the repository stay out of the analysis flow?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REMEMBER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Two streams indexed; the protected record untouched.  Three searches answer real questions from day one.  One alert, one responder, one written first step.</w:t>
      </w:r>
    </w:p>
    <w:p>
      <w:pPr>
        <w:spacing w:after="60" w:before="0" w:line="288" w:lineRule="auto"/>
      </w:pPr>
      <w:hyperlink w:history="1" r:id="rIds_umhosfm8yvfjszapj6o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Microsoft · Use Windows Event Forwarding to help with intrusion detection</w:t>
        </w:r>
      </w:hyperlink>
    </w:p>
    <w:p>
      <w:pPr>
        <w:spacing w:after="60" w:before="0" w:line="288" w:lineRule="auto"/>
      </w:pPr>
      <w:hyperlink w:history="1" r:id="rIdgv3egfv2_hqa_1s8maosv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Splunk · product documentation</w:t>
        </w:r>
      </w:hyperlink>
    </w:p>
    <w:p>
      <w:r>
        <w:br w:type="page"/>
      </w:r>
    </w:p>
    <w:p>
      <w:pPr>
        <w:spacing w:after="80" w:before="0" w:line="288" w:lineRule="auto"/>
      </w:pPr>
      <w:r>
        <w:rPr>
          <w:rFonts w:ascii="Arial" w:cs="Arial" w:eastAsia="Arial" w:hAnsi="Arial"/>
          <w:b/>
          <w:bCs/>
          <w:color w:val="20647C"/>
          <w:sz w:val="16"/>
          <w:szCs w:val="16"/>
        </w:rPr>
        <w:t xml:space="preserve">LESSON 06  /  ABOUT 20 MIN</w:t>
      </w:r>
    </w:p>
    <w:p>
      <w:pPr>
        <w:pStyle w:val="Heading1"/>
        <w:spacing w:after="120"/>
      </w:pPr>
      <w:bookmarkStart w:name="lesson-prove" w:id="8"/>
      <w:r>
        <w:rPr>
          <w:rFonts w:ascii="Arial" w:cs="Arial" w:eastAsia="Arial" w:hAnsi="Arial"/>
          <w:b/>
          <w:bCs/>
          <w:color w:val="193448"/>
          <w:sz w:val="40"/>
          <w:szCs w:val="40"/>
        </w:rPr>
        <w:t xml:space="preserve">Prove the chain and delta scan</w:t>
      </w:r>
      <w:bookmarkEnd w:id="8"/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WHY THIS MATTERS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One deliberate event, followed all the way: a failed privileged sign-in should appear on the source, the collector, the repository's next archive, and the analyst's screen — then the cadence scans close the course.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In this lesson you will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Trace a test event through all three stages.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Verify the router-deny stream the same way.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Baseline the new hosts and file the course evidence.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Follow the build</w:t>
      </w:r>
    </w:p>
    <w:p>
      <w:pPr>
        <w:pStyle w:val="ListParagraph"/>
        <w:numPr>
          <w:ilvl w:val="0"/>
          <w:numId w:val="9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Generate the test event: one failed sign-in with a (disabled-password) tier account on a DC. Find it in the DC's Security log, in Forwarded Events on the collector, flag it for the next archive's verification on the repository, and watch the alert fire in analysis.</w:t>
      </w:r>
    </w:p>
    <w:p>
      <w:pPr>
        <w:pStyle w:val="ListParagraph"/>
        <w:numPr>
          <w:ilvl w:val="0"/>
          <w:numId w:val="9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Repeat with the boundary: probe one unregistered port, then find that deny in the syslog stream and in search two — course 1.5's evidence pair now assembles itself.</w:t>
      </w:r>
    </w:p>
    <w:p>
      <w:pPr>
        <w:pStyle w:val="ListParagraph"/>
        <w:numPr>
          <w:ilvl w:val="0"/>
          <w:numId w:val="9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Run the cadence: first baselines for SBD-SYSLOG01, SBD-AUDIT01, and SBD-SPLUNK01 (Windows hosts with the standard benchmark; SBD-SPLUNK01 runs Linux, so scan it with the DISA STIG benchmark for its distribution), plus a DC rescan for the audit-policy deltas.</w:t>
      </w:r>
    </w:p>
    <w:p>
      <w:pPr>
        <w:pStyle w:val="ListParagraph"/>
        <w:numPr>
          <w:ilvl w:val="0"/>
          <w:numId w:val="9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File the end-to-end trace as this course's signature evidence and write the handoff: the fleet course inherits a pipeline that will see its first domain join happen.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Check your result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Get-WinEvent -LogName ForwardedEvents -MaxEvents 10 | Where-Object Id -eq 4625 | Select-Object TimeCreated, MachineName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Get-ChildItem C:\Evidence\logging-pipeline -Recurse | Select-Object Name, LastWriteTime</w:t>
      </w:r>
    </w:p>
    <w:p>
      <w:pPr>
        <w:shd w:fill="F1F7FA" w:color="auto" w:val="clear"/>
        <w:spacing w:after="16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Get-FileHash -Algorithm SHA256 C:\Evidence\logging-pipeline\*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WHAT SUCCESS LOOKS LIKE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The test event appears at every stage with consistent timestamps, the deny trace matches, the new hosts have baselines, and the DC rescan deltas are attributed to the audit policy.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Your record</w:t>
      </w:r>
    </w:p>
    <w:p>
      <w:pPr>
        <w:spacing w:after="16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Evidence to keep: Keep the four-stage trace of the test event, the deny trace, the scan set, and the handoff note to course 1.9.</w:t>
      </w:r>
    </w:p>
    <w:tbl>
      <w:tblPr>
        <w:tblW w:type="dxa" w:w="9360"/>
        <w:tblBorders>
          <w:top w:val="single" w:color="C7D9E2" w:sz="4"/>
          <w:left w:val="single" w:color="C7D9E2" w:sz="4"/>
          <w:bottom w:val="single" w:color="C7D9E2" w:sz="4"/>
          <w:right w:val="single" w:color="C7D9E2" w:sz="4"/>
          <w:insideH w:val="single" w:color="C7D9E2" w:sz="4"/>
          <w:insideV w:val="single" w:color="C7D9E2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RECORD</w:t>
            </w:r>
          </w:p>
        </w:tc>
        <w:tc>
          <w:tcPr>
            <w:tcW w:type="dxa" w:w="636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YOUR OBSERVATION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Host(s) and time collected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Observed result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Differences from the plan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Evidence file names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Open items or findings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Think it through</w:t>
      </w:r>
    </w:p>
    <w:p>
      <w:pPr>
        <w:spacing w:after="12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What does the single traced event prove that stage-by-stage checks don't?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REMEMBER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One event, four stages, consistent timestamps — the chain is real.  Boundary denies assemble their own evidence now.  Baselines, rescans, and the handoff close wave 4a.</w:t>
      </w:r>
    </w:p>
    <w:p>
      <w:pPr>
        <w:spacing w:after="60" w:before="0" w:line="288" w:lineRule="auto"/>
      </w:pPr>
      <w:hyperlink w:history="1" r:id="rIdida3tnqq6fq8nbbzkm48s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Microsoft · Wecutil (Windows Event Collector)</w:t>
        </w:r>
      </w:hyperlink>
    </w:p>
    <w:p>
      <w:pPr>
        <w:spacing w:after="60" w:before="0" w:line="288" w:lineRule="auto"/>
      </w:pPr>
      <w:hyperlink w:history="1" r:id="rId1ot3js_-_1q_pwjeyv4rr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NIST · SP 800-53 Rev. 5 security controls (AU family)</w:t>
        </w:r>
      </w:hyperlink>
    </w:p>
    <w:p>
      <w:r>
        <w:br w:type="page"/>
      </w:r>
    </w:p>
    <w:p>
      <w:pPr>
        <w:spacing w:after="80" w:before="0" w:line="288" w:lineRule="auto"/>
      </w:pPr>
      <w:r>
        <w:rPr>
          <w:rFonts w:ascii="Arial" w:cs="Arial" w:eastAsia="Arial" w:hAnsi="Arial"/>
          <w:b/>
          <w:bCs/>
          <w:color w:val="20647C"/>
          <w:sz w:val="16"/>
          <w:szCs w:val="16"/>
        </w:rPr>
        <w:t xml:space="preserve">COURSE 1.8 / CLOSE OUT</w:t>
      </w:r>
    </w:p>
    <w:p>
      <w:pPr>
        <w:pStyle w:val="Heading1"/>
        <w:spacing w:after="120"/>
      </w:pPr>
      <w:bookmarkStart w:name="review" w:id="9"/>
      <w:r>
        <w:rPr>
          <w:rFonts w:ascii="Arial" w:cs="Arial" w:eastAsia="Arial" w:hAnsi="Arial"/>
          <w:b/>
          <w:bCs/>
          <w:color w:val="193448"/>
          <w:sz w:val="40"/>
          <w:szCs w:val="40"/>
        </w:rPr>
        <w:t xml:space="preserve">Course review and sign-off</w:t>
      </w:r>
      <w:bookmarkEnd w:id="9"/>
    </w:p>
    <w:p>
      <w:p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Before moving on, confirm each lesson left evidence behind — and that what remains open is written down, not remembered.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Lesson completion</w:t>
      </w:r>
    </w:p>
    <w:tbl>
      <w:tblPr>
        <w:tblW w:type="dxa" w:w="9360"/>
        <w:tblBorders>
          <w:top w:val="single" w:color="C7D9E2" w:sz="4"/>
          <w:left w:val="single" w:color="C7D9E2" w:sz="4"/>
          <w:bottom w:val="single" w:color="C7D9E2" w:sz="4"/>
          <w:right w:val="single" w:color="C7D9E2" w:sz="4"/>
          <w:insideH w:val="single" w:color="C7D9E2" w:sz="4"/>
          <w:insideV w:val="single" w:color="C7D9E2" w:sz="4"/>
        </w:tblBorders>
      </w:tblPr>
      <w:tblGrid>
        <w:gridCol w:w="5560"/>
        <w:gridCol w:w="1800"/>
        <w:gridCol w:w="2000"/>
      </w:tblGrid>
      <w:tr>
        <w:trPr>
          <w:tblHeader/>
        </w:trPr>
        <w:tc>
          <w:tcPr>
            <w:tcW w:type="dxa" w:w="556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LESSON</w:t>
            </w:r>
          </w:p>
        </w:tc>
        <w:tc>
          <w:tcPr>
            <w:tcW w:type="dxa" w:w="180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EVIDENCE FILED</w:t>
            </w:r>
          </w:p>
        </w:tc>
        <w:tc>
          <w:tcPr>
            <w:tcW w:type="dxa" w:w="200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01  Design collect, protect, analyze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526B7E"/>
                <w:sz w:val="19"/>
                <w:szCs w:val="19"/>
              </w:rPr>
              <w:t xml:space="preserve">☐ yes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02  Turn on the right auditing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526B7E"/>
                <w:sz w:val="19"/>
                <w:szCs w:val="19"/>
              </w:rPr>
              <w:t xml:space="preserve">☐ yes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03  Build the collector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526B7E"/>
                <w:sz w:val="19"/>
                <w:szCs w:val="19"/>
              </w:rPr>
              <w:t xml:space="preserve">☐ yes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04  Protect the record on SBD-AUDIT01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526B7E"/>
                <w:sz w:val="19"/>
                <w:szCs w:val="19"/>
              </w:rPr>
              <w:t xml:space="preserve">☐ yes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05  Analyze in SBD-SPLUNK01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526B7E"/>
                <w:sz w:val="19"/>
                <w:szCs w:val="19"/>
              </w:rPr>
              <w:t xml:space="preserve">☐ yes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06  Prove the chain and delta scan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526B7E"/>
                <w:sz w:val="19"/>
                <w:szCs w:val="19"/>
              </w:rPr>
              <w:t xml:space="preserve">☐ yes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Open items carried forward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Next in the learning path</w:t>
      </w:r>
    </w:p>
    <w:p>
      <w:p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That completes course 1.8. Course 1.9 brings in the fifty-workstation fleet — watched, addressed, and policy-managed from first boot.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KEEP IT HONEST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Lesson completion records learning activity; it is not a system authorization decision. Your observations, not the sample values, establish what happened in your environment.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88" w:lineRule="auto"/>
    </w:pPr>
    <w:r>
      <w:rPr>
        <w:rFonts w:ascii="Arial" w:cs="Arial" w:eastAsia="Arial" w:hAnsi="Arial"/>
        <w:color w:val="526B7E"/>
        <w:sz w:val="15"/>
        <w:szCs w:val="15"/>
      </w:rPr>
      <w:t xml:space="preserve">© 2026 Secure By Design Team LLC.   Course 1.8 · Materials edition 1.1     </w:t>
    </w:r>
    <w:r>
      <w:rPr>
        <w:rFonts w:ascii="Arial" w:cs="Arial" w:eastAsia="Arial" w:hAnsi="Arial"/>
        <w:color w:val="526B7E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36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9344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/>
      <w:outlineLvl w:val="0"/>
    </w:pPr>
    <w:rPr>
      <w:rFonts w:ascii="Arial" w:cs="Arial" w:eastAsia="Arial" w:hAnsi="Arial"/>
      <w:b/>
      <w:bCs/>
      <w:color w:val="193448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9344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ysvcji9daitevq99uwv4n" Type="http://schemas.openxmlformats.org/officeDocument/2006/relationships/hyperlink" Target="https://learn.microsoft.com/en-us/windows/security/threat-protection/use-windows-event-forwarding-to-assist-in-intrusion-detection" TargetMode="External"/><Relationship Id="rId3zrux7pqwtss_ert8ociy" Type="http://schemas.openxmlformats.org/officeDocument/2006/relationships/hyperlink" Target="https://csrc.nist.gov/pubs/sp/800/53/r5/upd1/final" TargetMode="External"/><Relationship Id="rId9gpry76lypf0lx1dhb45m" Type="http://schemas.openxmlformats.org/officeDocument/2006/relationships/hyperlink" Target="https://learn.microsoft.com/en-us/windows/security/threat-protection/use-windows-event-forwarding-to-assist-in-intrusion-detection" TargetMode="External"/><Relationship Id="rIdqdgkfiydbzjix2idbgghw" Type="http://schemas.openxmlformats.org/officeDocument/2006/relationships/hyperlink" Target="https://learn.microsoft.com/en-us/windows-server/administration/windows-commands/auditpol" TargetMode="External"/><Relationship Id="rIdahlubgifdaqmzh0o9lgqs" Type="http://schemas.openxmlformats.org/officeDocument/2006/relationships/hyperlink" Target="https://learn.microsoft.com/en-us/windows/security/threat-protection/use-windows-event-forwarding-to-assist-in-intrusion-detection" TargetMode="External"/><Relationship Id="rIdvup-npqmaznz94mjhi6kg" Type="http://schemas.openxmlformats.org/officeDocument/2006/relationships/hyperlink" Target="https://learn.microsoft.com/en-us/windows-server/administration/windows-commands/wecutil" TargetMode="External"/><Relationship Id="rId15hfitwzcbz0vivpg2qqx" Type="http://schemas.openxmlformats.org/officeDocument/2006/relationships/hyperlink" Target="https://learn.microsoft.com/en-us/windows-server/administration/windows-commands/wecutil" TargetMode="External"/><Relationship Id="rIdgfuddeeoseqhn6r0udt5w" Type="http://schemas.openxmlformats.org/officeDocument/2006/relationships/hyperlink" Target="https://csrc.nist.gov/pubs/sp/800/53/r5/upd1/final" TargetMode="External"/><Relationship Id="rIds_umhosfm8yvfjszapj6o" Type="http://schemas.openxmlformats.org/officeDocument/2006/relationships/hyperlink" Target="https://learn.microsoft.com/en-us/windows/security/threat-protection/use-windows-event-forwarding-to-assist-in-intrusion-detection" TargetMode="External"/><Relationship Id="rIdgv3egfv2_hqa_1s8maosv" Type="http://schemas.openxmlformats.org/officeDocument/2006/relationships/hyperlink" Target="https://docs.splunk.com/Documentation" TargetMode="External"/><Relationship Id="rIdida3tnqq6fq8nbbzkm48s" Type="http://schemas.openxmlformats.org/officeDocument/2006/relationships/hyperlink" Target="https://learn.microsoft.com/en-us/windows-server/administration/windows-commands/wecutil" TargetMode="External"/><Relationship Id="rId1ot3js_-_1q_pwjeyv4rr" Type="http://schemas.openxmlformats.org/officeDocument/2006/relationships/hyperlink" Target="https://csrc.nist.gov/pubs/sp/800/53/r5/upd1/final" TargetMode="External"/><Relationship Id="rId8" Type="http://schemas.openxmlformats.org/officeDocument/2006/relationships/image" Target="media/315b4b2a7fe096c36787d89a85055bb8aacc1994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See everything: the logging pipeline — companion workbook</dc:title>
  <dc:creator>Secure By Design</dc:creator>
  <cp:lastModifiedBy>Un-named</cp:lastModifiedBy>
  <cp:revision>1</cp:revision>
  <dcterms:created xsi:type="dcterms:W3CDTF">2026-10-08T01:57:37.469Z</dcterms:created>
  <dcterms:modified xsi:type="dcterms:W3CDTF">2026-10-08T01:57:37.469Z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