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1.2    /    COURSE 1.10</w:t>
      </w:r>
    </w:p>
    <w:p>
      <w:pPr>
        <w:spacing w:after="80" w:before="0" w:line="288" w:lineRule="auto"/>
      </w:pPr>
      <w:r>
        <w:rPr>
          <w:rFonts w:ascii="Arial" w:cs="Arial" w:eastAsia="Arial" w:hAnsi="Arial"/>
          <w:color w:val="526B7E"/>
          <w:sz w:val="16"/>
          <w:szCs w:val="16"/>
        </w:rPr>
        <w:t xml:space="preserve">Updated 8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1.9: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course's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1.9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every Windows system to WSUS (8530/8531), domain controllers included; the domain-joined Linux servers (SBD-SPLUNK01 and SBD-NESSUS01) to REPO01 (HTTP, GPG-signed packages); every Windows system's agent to Trellix ePolicy Orchestrator (ePO) on SBD-EPO01 on its agent-server secure port, TCP 443, with the agent starting each connection; and the scanner's credentialed reach into each VLAN (SMB 445 and WMI to Windows, SSH 22 to Linux)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course's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Group Policy objects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Windows Server 2025, Windows 11, and defender definitions — and nothing speculative. Microsoft announced in September 2024 that WSUS is deprecated and no longer actively developed, but it is still included in Windows Server 2025 and supported for production deployments, with security and quality updates under the product lifecycle.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 The critical ring's GPO links to the Domain Controllers and Tier 0 Servers OUs.</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 Pilot and broad-ring approvals are Tier 1 work from SBD-ADMIN-SRV01; critical-ring approvals for the domain controllers and the two Tier 0 servers are Tier 0 work from AdminJumpBox01. Add SBD-WSUS01 to the SBD Tier 0 Console Hosts group and restart it so the new membership applies: the console reaches the server as a Kerberos network logon, the one Tier 0 logon type course 1.7's deny policy leaves open there, as its exception record states.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q1tcmg4xw-tdochowbmro">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s9589bjaoacivsjoibidl">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1.9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1.9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ready to join the Body of Evidence.</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 from lesson 1 carries the agents' check-ins, and with the agent's peer-to-peer and RelayServer features turned off, endpoints open no listener for the server (TCP 8081, UDP 8082).</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the member servers, and the critical ring — the same earn-your-way-up discipline as updates. Agent policy for the domain controllers is a Tier 0 scope in ePO, changed only from AdminJumpBox01 with a Tier 0 account. Add SBD-EPO01 to the SBD Tier 0 Console Hosts group and restart it, so course 1.7's recorded network-logon exception covers that console.</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1.8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b_9g6jjhb9hhcuk06enm7">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Plan of Action and Milestones (POA&amp;M) habit, and this course's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course's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on Linux in VLAN 50, joined to the sbd.test domain with its time taken from both domain controllers, plugins fed on the offline cadence, with dedicated scan accounts — least privilege for credentialed checks, its use logged, its register row the deliberate wide permit from lesson 1. The account that scans the domain controllers is a Tier 0 credential, kept apart from the member-server scan account and used only for DC scan jobs. Allow the scanner through the host firewalls it must reach — on the fleet, add SBD-NESSUS01 to the course 1.9 workstation firewall policy for SMB 445 and WMI.</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Defense Information Systems Agency (DISA) release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this course's own books: baselines for WSUS01, REPO01 (config-export pattern), MGMT01, EPO01, and NESSUS01, rescans where agents and policies changed existing systems, and the handoff — the network now sustains itself; course 1.11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course's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course's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This course's systems are baselined; the network now maintains itself.</w:t>
      </w:r>
    </w:p>
    <w:p>
      <w:pPr>
        <w:spacing w:after="60" w:before="0" w:line="288" w:lineRule="auto"/>
      </w:pPr>
      <w:hyperlink w:history="1" r:id="rIdksa0ratmw4thsihys-rc1">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jiao-ct-pr6kstsdq-t2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g-tzwkma4sgsevanxgxb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www.cyber.mil/stigs/srg-stig-tools" TargetMode="External"/><Relationship Id="rIds9589bjaoacivsjoibidl" Type="http://schemas.openxmlformats.org/officeDocument/2006/relationships/hyperlink" Target="https://docs.redhat.com/en"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docs.trellix.com/" TargetMode="External"/><Relationship Id="rIdaj_kpodjc8f7h-hxiqdak" Type="http://schemas.openxmlformats.org/officeDocument/2006/relationships/hyperlink" Target="https://csrc.nist.gov/pubs/sp/800/53/r5/upd1/final" TargetMode="External"/><Relationship Id="rIdksa0ratmw4thsihys-rc1" Type="http://schemas.openxmlformats.org/officeDocument/2006/relationships/hyperlink" Target="https://docs.tenable.com/nessus/" TargetMode="External"/><Relationship Id="rIdjiao-ct-pr6kstsdq-t2o" Type="http://schemas.openxmlformats.org/officeDocument/2006/relationships/hyperlink" Target="https://www.cyber.mil/stigs/srg-stig-tools" TargetMode="External"/><Relationship Id="rIdg-tzwkma4sgsevanxgxbo"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Secure By Design</cp:lastModifiedBy>
  <cp:revision>1</cp:revision>
  <dcterms:created xsi:type="dcterms:W3CDTF">2026-10-08T12:00:00Z</dcterms:created>
  <dcterms:modified xsi:type="dcterms:W3CDTF">2026-10-08T12:00:00Z</dcterms:modified>
  <dc:subject>WSUS rings, approved sources, ePO &amp; credentialed scanning</dc:subject>
  <cp:keywords>Secure By Design, companion workbook, Course 1.10, Windows Server 2025, WSUS, Endpoint protection, Vulnerability scanning, Configuration management</cp:keywords>
</cp:coreProperties>
</file>

<file path=docProps/custom.xml><?xml version="1.0" encoding="utf-8"?>
<Properties xmlns="http://schemas.openxmlformats.org/officeDocument/2006/custom-properties" xmlns:vt="http://schemas.openxmlformats.org/officeDocument/2006/docPropsVTypes"/>
</file>