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Secure By Design</w:t>
      </w:r>
    </w:p>
    <w:p>
      <w:pPr>
        <w:pStyle w:val="Title"/>
      </w:pPr>
      <w:r>
        <w:t xml:space="preserve">Risk Management Framework, Body of Evidence &amp; Authorization to Operate</w:t>
      </w:r>
    </w:p>
    <w:p>
      <w:pPr>
        <w:pStyle w:val="Subtitle"/>
      </w:pPr>
      <w:r>
        <w:t>Practical learning from system definition to authorization review</w:t>
      </w:r>
    </w:p>
    <w:p>
      <w:r>
        <w:t xml:space="preserve">Training catalog · Edition 1.3  |  Updated October 8, 2026</w:t>
      </w:r>
    </w:p>
    <w:p>
      <w:r>
        <w:t xml:space="preserve">Build the evidence behind an Authorization to Operate (ATO): how a system is secured, what has been assessed, what risk remains, and who decides whether that risk is acceptable. This progressive course uses one fictional, isolated enterprise throughout: the network built in Inside the Network.</w:t>
      </w:r>
    </w:p>
    <w:p>
      <w:pPr>
        <w:pStyle w:val="Heading2"/>
      </w:pPr>
      <w:r>
        <w:t>The learner outcome</w:t>
      </w:r>
    </w:p>
    <w:p>
      <w:r>
        <w:t>By the end, learners will assemble and defend a simulated authorization package, trace selected controls to implementation and assessment evidence, explain unresolved risk, and maintain the package through system changes. The capstone is a training portfolio; authorization of a real system remains the responsible Authorizing Official’s decision. [1]</w:t>
      </w:r>
    </w:p>
    <w:p>
      <w:pPr>
        <w:pStyle w:val="Heading2"/>
      </w:pPr>
      <w:r>
        <w:t>Who this course serves</w:t>
      </w:r>
    </w:p>
    <w:p>
      <w:r>
        <w:t>System administrators moving into cybersecurity, new Information System Security Officers, cybersecurity engineers, and practitioners who contribute evidence to an authorization effort. Basic familiarity with servers, identity, networking, logs, and vulnerabilities is recommended. Prior RMF or eMASS experience is not required.</w:t>
      </w:r>
    </w:p>
    <w:p>
      <w:pPr>
        <w:pStyle w:val="Heading2"/>
      </w:pPr>
      <w:r>
        <w:t>Course format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Structure</w:t>
            </w:r>
          </w:p>
        </w:tc>
        <w:tc>
          <w:tcPr>
            <w:tcW w:type="dxa" w:w="7344"/>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 xml:space="preserve">What to expect</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12 modules in 4 stages</w:t>
            </w:r>
          </w:p>
        </w:tc>
        <w:tc>
          <w:tcPr>
            <w:tcW w:type="dxa" w:w="734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36 short lessons with worked examples and practical exercises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24 estimated learner hours</w:t>
            </w:r>
          </w:p>
        </w:tc>
        <w:tc>
          <w:tcPr>
            <w:tcW w:type="dxa" w:w="73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20 hours of lessons and guided practice plus a 4 hour capstone</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One continuing case study</w:t>
            </w:r>
          </w:p>
        </w:tc>
        <w:tc>
          <w:tcPr>
            <w:tcW w:type="dxa" w:w="734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Inside the Network build: a fictional air-gapped enterprise of eight VLANs, 22 named systems, and 50 Windows 11 workstations with identity, PKI, logging, scanning, endpoint protection, and recovery services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Three exercise depths</w:t>
            </w:r>
          </w:p>
        </w:tc>
        <w:tc>
          <w:tcPr>
            <w:tcW w:type="dxa" w:w="73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Knowledge explains decisions; Analyst evaluates supplied evidence; Engineer produces evidence in a lab</w:t>
            </w:r>
          </w:p>
        </w:tc>
      </w:tr>
    </w:tbl>
    <w:p>
      <w:pPr>
        <w:spacing w:after="0"/>
      </w:pPr>
      <w:r/>
    </w:p>
    <w:p>
      <w:r>
        <w:t xml:space="preserve">Every module follows Learn → See → Build → Prove: read three short lessons, follow a worked example, build a practice artifact, then defend your work and check your understanding. Each artifact has a blank starter and a completed fictional example in the online Body of Evidence workspace at securebydesigninc.com/training/rmf.</w:t>
      </w:r>
    </w:p>
    <w:p>
      <w:r>
        <w:t xml:space="preserve">The supplied sample records are enough to complete the course; no commercial tool access is required. Optional engineering exercises connect to the Inside the Network build from courses 1.1–1.12. Estimated time excludes building the underlying enterprise.</w:t>
      </w:r>
    </w:p>
    <w:p>
      <w:pPr>
        <w:pStyle w:val="Heading1"/>
        <w:pageBreakBefore/>
      </w:pPr>
      <w:r>
        <w:t>The learning path</w:t>
      </w:r>
    </w:p>
    <w:p>
      <w:r>
        <w:t>All seven RMF steps are covered: Prepare, Categorize, Select, Implement, Assess, Authorize, and Monitor. The four teaching stages group related work while preserving the iterative lifecycle. Evidence planning begins early and continues throughout. [1]</w:t>
      </w:r>
    </w:p>
    <w:tbl>
      <w:tblPr>
        <w:tblW w:type="auto" w:w="0"/>
        <w:jc w:val="center"/>
        <w:tblLayout w:type="fixed"/>
        <w:tblLook w:firstColumn="1" w:firstRow="1" w:lastColumn="0" w:lastRow="0" w:noHBand="0" w:noVBand="1" w:val="04A0"/>
      </w:tblPr>
      <w:tblGrid>
        <w:gridCol w:w="936"/>
        <w:gridCol w:w="3096"/>
        <w:gridCol w:w="5256"/>
        <w:gridCol w:w="936"/>
      </w:tblGrid>
      <w:tr>
        <w:trPr>
          <w:cantSplit/>
          <w:tblHeader/>
        </w:trPr>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Module</w:t>
            </w:r>
          </w:p>
        </w:tc>
        <w:tc>
          <w:tcPr>
            <w:tcW w:type="dxa" w:w="309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Topic</w:t>
            </w:r>
          </w:p>
        </w:tc>
        <w:tc>
          <w:tcPr>
            <w:tcW w:type="dxa" w:w="525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Portfolio contribution</w:t>
            </w:r>
          </w:p>
        </w:tc>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Hours</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01</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RMF and authorization fundamentals</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Role map and package map</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Prepare and define the system</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Scope, boundary, and responsibility record</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03</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Categorize information and impacts</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Categorization rationale</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Select and tailor controls</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Baseline and SCTM starter</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Write the system security plan</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SSP sections and implementation statements</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06</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Connect implementation to proof</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Technical evidence collection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Organize the Body of Evidence</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Evidence index and traceability register</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08</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Plan and perform assessment</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plan and sample SAR</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09</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Manage findings and residual risk</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analysis and POA&amp;M</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Assemble the authorization package</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Package manifest and executive summary</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11</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Present the authorization decision</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briefing and decision exercise</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12</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Monitor and maintain authorization</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Monitoring and change review plan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bl>
    <w:p>
      <w:pPr>
        <w:spacing w:after="0"/>
      </w:pPr>
      <w:r/>
    </w:p>
    <w:p>
      <w:pPr>
        <w:pStyle w:val="Heading2"/>
      </w:pPr>
      <w:r>
        <w:t>Stage checkpoints</w:t>
      </w:r>
    </w:p>
    <w:tbl>
      <w:tblPr>
        <w:tblW w:type="auto" w:w="0"/>
        <w:jc w:val="center"/>
        <w:tblLayout w:type="fixed"/>
        <w:tblLook w:firstColumn="1" w:firstRow="1" w:lastColumn="0" w:lastRow="0" w:noHBand="0" w:noVBand="1" w:val="04A0"/>
      </w:tblPr>
      <w:tblGrid>
        <w:gridCol w:w="2952"/>
        <w:gridCol w:w="1080"/>
        <w:gridCol w:w="6192"/>
      </w:tblGrid>
      <w:tr>
        <w:trPr>
          <w:cantSplit/>
          <w:tblHeader/>
        </w:trPr>
        <w:tc>
          <w:tcPr>
            <w:tcW w:type="dxa" w:w="295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Stage</w:t>
            </w:r>
          </w:p>
        </w:tc>
        <w:tc>
          <w:tcPr>
            <w:tcW w:type="dxa" w:w="10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Modules</w:t>
            </w:r>
          </w:p>
        </w:tc>
        <w:tc>
          <w:tcPr>
            <w:tcW w:type="dxa" w:w="619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Completion gate</w:t>
            </w:r>
          </w:p>
        </w:tc>
      </w:tr>
      <w:tr>
        <w:trPr>
          <w:cantSplit/>
        </w:trPr>
        <w:tc>
          <w:tcPr>
            <w:tcW w:type="dxa" w:w="295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Understand the system</w:t>
            </w:r>
          </w:p>
        </w:tc>
        <w:tc>
          <w:tcPr>
            <w:tcW w:type="dxa" w:w="10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01–03</w:t>
            </w:r>
          </w:p>
        </w:tc>
        <w:tc>
          <w:tcPr>
            <w:tcW w:type="dxa" w:w="61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the mission, boundary, responsible parties, and impact rationale.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Document and demonstrate controls</w:t>
            </w:r>
          </w:p>
        </w:tc>
        <w:tc>
          <w:tcPr>
            <w:tcW w:type="dxa" w:w="1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04–06</w:t>
            </w:r>
          </w:p>
        </w:tc>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Connect a justified requirement to an implementation and relevant proof.</w:t>
            </w:r>
          </w:p>
        </w:tc>
      </w:tr>
      <w:tr>
        <w:trPr>
          <w:cantSplit/>
        </w:trPr>
        <w:tc>
          <w:tcPr>
            <w:tcW w:type="dxa" w:w="295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 and manage risk</w:t>
            </w:r>
          </w:p>
        </w:tc>
        <w:tc>
          <w:tcPr>
            <w:tcW w:type="dxa" w:w="10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07–09</w:t>
            </w:r>
          </w:p>
        </w:tc>
        <w:tc>
          <w:tcPr>
            <w:tcW w:type="dxa" w:w="61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 an assessment finding into a risk response and accountable remediation.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Authorize and sustain</w:t>
            </w:r>
          </w:p>
        </w:tc>
        <w:tc>
          <w:tcPr>
            <w:tcW w:type="dxa" w:w="1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10–12</w:t>
            </w:r>
          </w:p>
        </w:tc>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Brief a coherent package and show how changes keep it current.</w:t>
            </w:r>
          </w:p>
        </w:tc>
      </w:tr>
    </w:tbl>
    <w:p>
      <w:pPr>
        <w:spacing w:after="0"/>
      </w:pPr>
      <w:r/>
    </w:p>
    <w:p>
      <w:r>
        <w:t>Each module builds on earlier outputs. Learners with experience may use a checkpoint review to enter a later stage, but must still supply the earlier portfolio artifacts needed for the capstone.</w:t>
      </w:r>
    </w:p>
    <w:p>
      <w:pPr>
        <w:pStyle w:val="Heading1"/>
        <w:pageBreakBefore/>
      </w:pPr>
      <w:r>
        <w:t>Understand the system</w:t>
      </w:r>
    </w:p>
    <w:p>
      <w:pPr>
        <w:pStyle w:val="Heading2"/>
      </w:pPr>
      <w:r>
        <w:t>01 RMF and authorization fundamentals</w:t>
      </w:r>
    </w:p>
    <w:p>
      <w:r>
        <w:rPr>
          <w:sz w:val="18"/>
        </w:rPr>
        <w:t>Foundations  |  1 hour  |  Sources [1]</w:t>
      </w:r>
    </w:p>
    <w:p>
      <w:r>
        <w:t>Explain the relationship between the RMF lifecycle, the Body of Evidence, the authorization package, and the authorization decision.</w:t>
      </w:r>
    </w:p>
    <w:p>
      <w:r>
        <w:rPr>
          <w:b/>
        </w:rPr>
        <w:t xml:space="preserve">Lessons </w:t>
      </w:r>
      <w:r>
        <w:t>01.1 Risk and mission impact • 01.2 Roles and accountability • 01.3 How the package fits together</w:t>
      </w:r>
    </w:p>
    <w:p>
      <w:r>
        <w:rPr>
          <w:b/>
        </w:rPr>
        <w:t xml:space="preserve">Build </w:t>
      </w:r>
      <w:r>
        <w:t>Create a role map for the system owner, ISSM, ISSO, engineers, control assessor, common control provider, and Authorizing Official (AO). Identify applicable privacy responsibilities.</w:t>
      </w:r>
    </w:p>
    <w:p>
      <w:r>
        <w:rPr>
          <w:b/>
        </w:rPr>
        <w:t xml:space="preserve">Prove </w:t>
      </w:r>
      <w:r>
        <w:t>Given a missing test result and an unresolved risk, identify who supplies evidence, who assesses it, and who has authority to accept the risk.</w:t>
      </w:r>
    </w:p>
    <w:p>
      <w:pPr>
        <w:pStyle w:val="Heading2"/>
      </w:pPr>
      <w:r>
        <w:t>02 Prepare and define the system</w:t>
      </w:r>
    </w:p>
    <w:p>
      <w:r>
        <w:rPr>
          <w:sz w:val="18"/>
        </w:rPr>
        <w:t>Prepare  |  1.5 hours  |  Sources [1,5,6]</w:t>
      </w:r>
    </w:p>
    <w:p>
      <w:r>
        <w:t>Establish what is being authorized, why it exists, and which organizational and system preparation decisions must be made before documentation expands.</w:t>
      </w:r>
    </w:p>
    <w:p>
      <w:r>
        <w:rPr>
          <w:b/>
        </w:rPr>
        <w:t xml:space="preserve">Lessons </w:t>
      </w:r>
      <w:r>
        <w:t>02.1 Mission and stakeholders • 02.2 Boundary and data flows • 02.3 Governance and inherited services</w:t>
      </w:r>
    </w:p>
    <w:p>
      <w:r>
        <w:rPr>
          <w:b/>
        </w:rPr>
        <w:t xml:space="preserve">Build </w:t>
      </w:r>
      <w:r>
        <w:t>Draft a mission statement, boundary diagram, asset list, data flow narrative, stakeholder register, and assumptions log. Record the governing authority, approved standards, overlays, and review expectations. Check each information flow in your narrative against the connection map in Inside the Network, which shows every permitted, pending, and denied rule for a system.</w:t>
      </w:r>
    </w:p>
    <w:p>
      <w:r>
        <w:rPr>
          <w:b/>
        </w:rPr>
        <w:t xml:space="preserve">Prove </w:t>
      </w:r>
      <w:r>
        <w:t>Explain whether a shared service, hypervisor, management path, or offline update transfer is inside the boundary, external, or inherited, and identify supporting responsibility evidence.</w:t>
      </w:r>
    </w:p>
    <w:p>
      <w:pPr>
        <w:pStyle w:val="Heading2"/>
      </w:pPr>
      <w:r>
        <w:t>03 Categorize information and impacts</w:t>
      </w:r>
    </w:p>
    <w:p>
      <w:r>
        <w:rPr>
          <w:sz w:val="18"/>
        </w:rPr>
        <w:t>Categorize  |  1.5 hours  |  Sources [1,4,5]</w:t>
      </w:r>
    </w:p>
    <w:p>
      <w:r>
        <w:t>Justify confidentiality, integrity, and availability impacts using information types and mission consequences. Treat privacy applicability as an explicit decision.</w:t>
      </w:r>
    </w:p>
    <w:p>
      <w:r>
        <w:rPr>
          <w:b/>
        </w:rPr>
        <w:t xml:space="preserve">Lessons </w:t>
      </w:r>
      <w:r>
        <w:t>03.1 Information types and impact • 03.2 Categorization rationale • 03.3 Federal and national security contexts</w:t>
      </w:r>
    </w:p>
    <w:p>
      <w:r>
        <w:rPr>
          <w:b/>
        </w:rPr>
        <w:t xml:space="preserve">Build </w:t>
      </w:r>
      <w:r>
        <w:t>Prepare a categorization worksheet with information types, impact rationale, mission dependencies, approval routing, and privacy considerations. Document the methodology required by the system’s authority.</w:t>
      </w:r>
    </w:p>
    <w:p>
      <w:r>
        <w:rPr>
          <w:b/>
        </w:rPr>
        <w:t xml:space="preserve">Prove </w:t>
      </w:r>
      <w:r>
        <w:t>Defend a changed availability impact after a new mission dependency. Explain why an air gap alone does not establish a low impact level or eliminate risk.</w:t>
      </w:r>
    </w:p>
    <w:p>
      <w:pPr>
        <w:pStyle w:val="Heading2"/>
      </w:pPr>
      <w:r>
        <w:t>Case study for this stage</w:t>
      </w:r>
    </w:p>
    <w:p>
      <w:r>
        <w:t xml:space="preserve">The Inside the Network build supports an engineering team on an isolated network; its directory, PKI, endpoint, file, logging, scanning, and offline backup services are in scope. Resolve the status of the virtualization platform and offline support processes. All records are invented, and no operational government package is needed.</w:t>
      </w:r>
    </w:p>
    <w:p>
      <w:pPr>
        <w:pStyle w:val="Heading1"/>
        <w:pageBreakBefore/>
      </w:pPr>
      <w:r>
        <w:t>Document and demonstrate controls</w:t>
      </w:r>
    </w:p>
    <w:p>
      <w:pPr>
        <w:pStyle w:val="Heading2"/>
      </w:pPr>
      <w:r>
        <w:t>04 Select and tailor controls</w:t>
      </w:r>
    </w:p>
    <w:p>
      <w:r>
        <w:rPr>
          <w:sz w:val="18"/>
        </w:rPr>
        <w:t>Select  |  2 hours  |  Sources [2,3,4]</w:t>
      </w:r>
    </w:p>
    <w:p>
      <w:r>
        <w:t>Translate the approved categorization and applicable requirements into a justified, assignable control set. Distinguish the control catalog from a selected baseline.</w:t>
      </w:r>
    </w:p>
    <w:p>
      <w:r>
        <w:rPr>
          <w:b/>
        </w:rPr>
        <w:t xml:space="preserve">Lessons </w:t>
      </w:r>
      <w:r>
        <w:t>04.1 Baselines and overlays • 04.2 Tailoring and parameters • 04.3 Ownership and inheritance</w:t>
      </w:r>
    </w:p>
    <w:p>
      <w:r>
        <w:rPr>
          <w:b/>
        </w:rPr>
        <w:t xml:space="preserve">Build </w:t>
      </w:r>
      <w:r>
        <w:t>Start a Security Control Traceability Matrix (SCTM). Record control revision, applicability, tailoring rationale, organization-defined parameters, owner, and system-specific, common, or hybrid allocation.</w:t>
      </w:r>
    </w:p>
    <w:p>
      <w:r>
        <w:rPr>
          <w:b/>
        </w:rPr>
        <w:t xml:space="preserve">Prove </w:t>
      </w:r>
      <w:r>
        <w:t>Resolve a proposed not-applicable control and an inherited-control claim using evidence and the required approval path. Pin the selected control and assessment-procedure versions.</w:t>
      </w:r>
    </w:p>
    <w:p>
      <w:pPr>
        <w:pStyle w:val="Heading2"/>
      </w:pPr>
      <w:r>
        <w:t>05 Write the system security plan</w:t>
      </w:r>
    </w:p>
    <w:p>
      <w:r>
        <w:rPr>
          <w:sz w:val="18"/>
        </w:rPr>
        <w:t>Implement documentation  |  2 hours  |  Sources [1,2]</w:t>
      </w:r>
    </w:p>
    <w:p>
      <w:r>
        <w:t>Write a System Security Plan (SSP) that describes the actual system and explains how selected controls are implemented.</w:t>
      </w:r>
    </w:p>
    <w:p>
      <w:r>
        <w:rPr>
          <w:b/>
        </w:rPr>
        <w:t xml:space="preserve">Lessons </w:t>
      </w:r>
      <w:r>
        <w:t>05.1 System description and environment • 05.2 Implementation statements • 05.3 Policies and supporting plans</w:t>
      </w:r>
    </w:p>
    <w:p>
      <w:r>
        <w:rPr>
          <w:b/>
        </w:rPr>
        <w:t xml:space="preserve">Build </w:t>
      </w:r>
      <w:r>
        <w:t>Draft SSP sections for the boundary, system components, roles, and selected controls. Write statements covering who performs the activity, what happens, where it occurs, when it happens, and the supporting evidence.</w:t>
      </w:r>
    </w:p>
    <w:p>
      <w:r>
        <w:rPr>
          <w:b/>
        </w:rPr>
        <w:t xml:space="preserve">Prove </w:t>
      </w:r>
      <w:r>
        <w:t>Replace a vague “compliant with policy” statement with a specific implementation narrative. Reconcile it with the diagrams, inventory, and inheritance record.</w:t>
      </w:r>
    </w:p>
    <w:p>
      <w:pPr>
        <w:pStyle w:val="Heading2"/>
      </w:pPr>
      <w:r>
        <w:t>06 Connect implementation to proof</w:t>
      </w:r>
    </w:p>
    <w:p>
      <w:r>
        <w:rPr>
          <w:sz w:val="18"/>
        </w:rPr>
        <w:t>Implement and validate  |  2 hours  |  Sources [2,3]</w:t>
      </w:r>
    </w:p>
    <w:p>
      <w:r>
        <w:t>Collect technical and operational evidence that addresses the selected requirement and can support an assessment.</w:t>
      </w:r>
    </w:p>
    <w:p>
      <w:r>
        <w:rPr>
          <w:b/>
        </w:rPr>
        <w:t xml:space="preserve">Lessons </w:t>
      </w:r>
      <w:r>
        <w:t>06.1 Configuration and STIG evidence • 06.2 Security operations evidence • 06.3 Coverage and evidence limitations</w:t>
      </w:r>
    </w:p>
    <w:p>
      <w:r>
        <w:rPr>
          <w:b/>
        </w:rPr>
        <w:t xml:space="preserve">Build </w:t>
      </w:r>
      <w:r>
        <w:t>Collect configuration exports, a reviewed hardening checklist, scan coverage, log review records, and a recovery-test result. Use Splunk, Tenable, and Trellix examples or equivalent supplied training records.</w:t>
      </w:r>
    </w:p>
    <w:p>
      <w:r>
        <w:rPr>
          <w:b/>
        </w:rPr>
        <w:t xml:space="preserve">Prove </w:t>
      </w:r>
      <w:r>
        <w:t>Explain what each item proves and leaves untested. Identify a failed authenticated scan, an unreviewed alert, and a configuration screenshot that lacks system or time context.</w:t>
      </w:r>
    </w:p>
    <w:p>
      <w:pPr>
        <w:pStyle w:val="Heading2"/>
      </w:pPr>
      <w:r>
        <w:t>Connection to the technical catalog</w:t>
      </w:r>
    </w:p>
    <w:p>
      <w:r>
        <w:t xml:space="preserve">Courses 1.1–1.12 supply the technical work for these modules: bring one implemented capability forward as a documented control claim with supporting evidence. Control examples are teaching selections, not a complete baseline; a STIG result, scan, or installed product is only part of the evidence for a control.</w:t>
      </w:r>
    </w:p>
    <w:p>
      <w:pPr>
        <w:pStyle w:val="Heading1"/>
        <w:pageBreakBefore/>
      </w:pPr>
      <w:r>
        <w:t>Assess and manage risk</w:t>
      </w:r>
    </w:p>
    <w:p>
      <w:pPr>
        <w:pStyle w:val="Heading2"/>
      </w:pPr>
      <w:r>
        <w:t>07 Organize the Body of Evidence</w:t>
      </w:r>
    </w:p>
    <w:p>
      <w:r>
        <w:rPr>
          <w:sz w:val="18"/>
        </w:rPr>
        <w:t>Evidence management  |  1.5 hours  |  Sources [1,3]</w:t>
      </w:r>
    </w:p>
    <w:p>
      <w:r>
        <w:t>Make evidence easy to retrieve, trace, and maintain across system changes and assessment cycles.</w:t>
      </w:r>
    </w:p>
    <w:p>
      <w:r>
        <w:rPr>
          <w:b/>
        </w:rPr>
        <w:t xml:space="preserve">Lessons </w:t>
      </w:r>
      <w:r>
        <w:t>07.1 Evidence index and identifiers • 07.2 Control traceability • 07.3 Currency and version control</w:t>
      </w:r>
    </w:p>
    <w:p>
      <w:r>
        <w:rPr>
          <w:b/>
        </w:rPr>
        <w:t xml:space="preserve">Build </w:t>
      </w:r>
      <w:r>
        <w:t>Create a master evidence index and link each selected control objective to the implementation, supporting record, owner, collection date, system scope, document version, and review status.</w:t>
      </w:r>
    </w:p>
    <w:p>
      <w:r>
        <w:rPr>
          <w:b/>
        </w:rPr>
        <w:t xml:space="preserve">Prove </w:t>
      </w:r>
      <w:r>
        <w:t>Find stale evidence, a missing record, and a mismatch between the SSP and an exported configuration. Record the gap and its effect on the assessment.</w:t>
      </w:r>
    </w:p>
    <w:p>
      <w:pPr>
        <w:pStyle w:val="Heading2"/>
      </w:pPr>
      <w:r>
        <w:t>08 Plan and perform assessment</w:t>
      </w:r>
    </w:p>
    <w:p>
      <w:r>
        <w:rPr>
          <w:sz w:val="18"/>
        </w:rPr>
        <w:t>Assess  |  2 hours  |  Sources [3]</w:t>
      </w:r>
    </w:p>
    <w:p>
      <w:r>
        <w:t>Turn implementation claims into assessable objectives and distinguish a planned test from an observed result.</w:t>
      </w:r>
    </w:p>
    <w:p>
      <w:r>
        <w:rPr>
          <w:b/>
        </w:rPr>
        <w:t xml:space="preserve">Lessons </w:t>
      </w:r>
      <w:r>
        <w:t>08.1 Assessment scope and independence • 08.2 Examine interview and test • 08.3 Findings and assessment reporting</w:t>
      </w:r>
    </w:p>
    <w:p>
      <w:r>
        <w:rPr>
          <w:b/>
        </w:rPr>
        <w:t xml:space="preserve">Build </w:t>
      </w:r>
      <w:r>
        <w:t>Draft a Security Assessment Plan with objectives, methods, objects, scope, sampling rationale, responsibilities, and schedule. Execute sample procedures and prepare a Security Assessment Report (SAR) excerpt. Include negative tests: run the six attempts in the Inside the Network attack drill, record each expected and observed result in the Operational verification column of the network traffic matrix, and cite the matrix in your SAR excerpt.</w:t>
      </w:r>
    </w:p>
    <w:p>
      <w:r>
        <w:rPr>
          <w:b/>
        </w:rPr>
        <w:t xml:space="preserve">Prove </w:t>
      </w:r>
      <w:r>
        <w:t>Link each conclusion to the assessment objective, evidence, actual observation, and limitation. Record unsupported objectives rather than treating a lack of evidence as a successful test.</w:t>
      </w:r>
    </w:p>
    <w:p>
      <w:pPr>
        <w:pStyle w:val="Heading2"/>
      </w:pPr>
      <w:r>
        <w:t>09 Manage findings and residual risk</w:t>
      </w:r>
    </w:p>
    <w:p>
      <w:r>
        <w:rPr>
          <w:sz w:val="18"/>
        </w:rPr>
        <w:t>Assess and risk response  |  1.5 hours  |  Sources [1,3]</w:t>
      </w:r>
    </w:p>
    <w:p>
      <w:r>
        <w:t>Translate weaknesses into mission-relevant risk and an accountable response. Explain the difference between technical severity and contextual risk.</w:t>
      </w:r>
    </w:p>
    <w:p>
      <w:r>
        <w:rPr>
          <w:b/>
        </w:rPr>
        <w:t xml:space="preserve">Lessons </w:t>
      </w:r>
      <w:r>
        <w:t>09.1 Findings and risk analysis • 09.2 Writing an actionable POA&amp;M • 09.3 Remediation and verification</w:t>
      </w:r>
    </w:p>
    <w:p>
      <w:r>
        <w:rPr>
          <w:b/>
        </w:rPr>
        <w:t xml:space="preserve">Build </w:t>
      </w:r>
      <w:r>
        <w:t>Create a risk analysis record and Plan of Action and Milestones (POA&amp;M) entry with the weakness, affected assets and controls, owner, planned milestones, target dates, resources, status, and closure criteria.</w:t>
      </w:r>
    </w:p>
    <w:p>
      <w:r>
        <w:rPr>
          <w:b/>
        </w:rPr>
        <w:t xml:space="preserve">Prove </w:t>
      </w:r>
      <w:r>
        <w:t>Prioritize two findings with different exposure and mission impact. Preserve the original result, document remediation, and require verification before claiming closure.</w:t>
      </w:r>
    </w:p>
    <w:p>
      <w:pPr>
        <w:pStyle w:val="Heading2"/>
      </w:pPr>
      <w:r>
        <w:t>Case study challenge</w:t>
      </w:r>
    </w:p>
    <w:p>
      <w:r>
        <w:t>A central logging dashboard is receiving data, but one privileged management host, SBD-MGMT01, has stopped forwarding events. The SSP still claims complete coverage. Learners must correct the evidence record, determine affected assessment objectives, describe the risk, and propose a measurable corrective action.</w:t>
      </w:r>
    </w:p>
    <w:p>
      <w:r>
        <w:t>The course uses “assessment plan” in lesson navigation to avoid confusing that artifact with a Special Access Program. Assessment team roles and independence follow the applicable authority’s requirements.</w:t>
      </w:r>
    </w:p>
    <w:p>
      <w:pPr>
        <w:pStyle w:val="Heading1"/>
        <w:pageBreakBefore/>
      </w:pPr>
      <w:r>
        <w:t>Authorize and sustain</w:t>
      </w:r>
    </w:p>
    <w:p>
      <w:pPr>
        <w:pStyle w:val="Heading2"/>
      </w:pPr>
      <w:r>
        <w:t>10 Assemble the authorization package</w:t>
      </w:r>
    </w:p>
    <w:p>
      <w:r>
        <w:rPr>
          <w:sz w:val="18"/>
        </w:rPr>
        <w:t>Authorize preparation  |  2 hours  |  Sources [1,7]</w:t>
      </w:r>
    </w:p>
    <w:p>
      <w:r>
        <w:t>Build a reviewable package whose claims, assessment results, and open risks agree across documents.</w:t>
      </w:r>
    </w:p>
    <w:p>
      <w:r>
        <w:rPr>
          <w:b/>
        </w:rPr>
        <w:t xml:space="preserve">Lessons </w:t>
      </w:r>
      <w:r>
        <w:t>10.1 Package structure and manifest • 10.2 Consistency and readiness review • 10.3 Submission workflow</w:t>
      </w:r>
    </w:p>
    <w:p>
      <w:r>
        <w:rPr>
          <w:b/>
        </w:rPr>
        <w:t xml:space="preserve">Build </w:t>
      </w:r>
      <w:r>
        <w:t>Assemble an executive summary, security and applicable privacy planning material, assessment reports, POA&amp;M, and required supporting references. Add a versioned manifest and review record.</w:t>
      </w:r>
    </w:p>
    <w:p>
      <w:r>
        <w:rPr>
          <w:b/>
        </w:rPr>
        <w:t xml:space="preserve">Prove </w:t>
      </w:r>
      <w:r>
        <w:t>Reconcile control identifiers, asset counts, findings, dates, and status across the SSP, SCTM, SAR, and POA&amp;M. Demonstrate a generic eMASS-style record workflow using training data.</w:t>
      </w:r>
    </w:p>
    <w:p>
      <w:pPr>
        <w:pStyle w:val="Heading2"/>
      </w:pPr>
      <w:r>
        <w:t>11 Present the authorization decision</w:t>
      </w:r>
    </w:p>
    <w:p>
      <w:r>
        <w:rPr>
          <w:sz w:val="18"/>
        </w:rPr>
        <w:t>Authorize  |  1.5 hours  |  Sources [1,5]</w:t>
      </w:r>
    </w:p>
    <w:p>
      <w:r>
        <w:t>Communicate mission need, the assessed security posture, unresolved risk, and proposed risk responses to the decision maker.</w:t>
      </w:r>
    </w:p>
    <w:p>
      <w:r>
        <w:rPr>
          <w:b/>
        </w:rPr>
        <w:t xml:space="preserve">Lessons </w:t>
      </w:r>
      <w:r>
        <w:t>11.1 Briefing residual risk • 11.2 AO review and questions • 11.3 Decision and operating conditions</w:t>
      </w:r>
    </w:p>
    <w:p>
      <w:r>
        <w:rPr>
          <w:b/>
        </w:rPr>
        <w:t xml:space="preserve">Build </w:t>
      </w:r>
      <w:r>
        <w:t>Prepare a five minute briefing and a fictional decision exercise. Capture the system scope, major risks, recommended actions, conditions, monitoring expectations, and next review triggers.</w:t>
      </w:r>
    </w:p>
    <w:p>
      <w:r>
        <w:rPr>
          <w:b/>
        </w:rPr>
        <w:t xml:space="preserve">Prove </w:t>
      </w:r>
      <w:r>
        <w:t>Defend one unresolved finding and answer a request for additional evidence. Explain why a complete package or a passing score does not automatically produce an ATO.</w:t>
      </w:r>
    </w:p>
    <w:p>
      <w:pPr>
        <w:pStyle w:val="Heading2"/>
      </w:pPr>
      <w:r>
        <w:t>12 Monitor and maintain authorization</w:t>
      </w:r>
    </w:p>
    <w:p>
      <w:r>
        <w:rPr>
          <w:sz w:val="18"/>
        </w:rPr>
        <w:t>Monitor  |  1.5 hours  |  Sources [1,2]</w:t>
      </w:r>
    </w:p>
    <w:p>
      <w:r>
        <w:t>Keep the authorization evidence useful as the system, threats, personnel, and dependencies change.</w:t>
      </w:r>
    </w:p>
    <w:p>
      <w:r>
        <w:rPr>
          <w:b/>
        </w:rPr>
        <w:t xml:space="preserve">Lessons </w:t>
      </w:r>
      <w:r>
        <w:t>12.1 Monitoring strategy and measures • 12.2 Change impact and reassessment • 12.3 Updating the package</w:t>
      </w:r>
    </w:p>
    <w:p>
      <w:r>
        <w:rPr>
          <w:b/>
        </w:rPr>
        <w:t xml:space="preserve">Build </w:t>
      </w:r>
      <w:r>
        <w:t>Create a monitoring schedule with owners, evidence sources, review frequencies, escalation criteria, and update triggers. Add a change-impact record and an updated package version.</w:t>
      </w:r>
    </w:p>
    <w:p>
      <w:r>
        <w:rPr>
          <w:b/>
        </w:rPr>
        <w:t xml:space="preserve">Prove </w:t>
      </w:r>
      <w:r>
        <w:t>Process a new server, a missed security update, and a changed common control. Determine what must be revalidated, what artifacts change, and when the AO or designated authority must be engaged.</w:t>
      </w:r>
    </w:p>
    <w:p>
      <w:pPr>
        <w:pStyle w:val="Heading2"/>
      </w:pPr>
      <w:r>
        <w:t>The authorization review sequence</w:t>
      </w:r>
    </w:p>
    <w:p>
      <w:r>
        <w:t>Learners prepare and reconcile the package, obtain the required organizational reviews, support the assessor and risk review process, and brief the AO. Questions may send the work back for clarification, remediation, or additional assessment. The resulting decision and conditions feed ongoing monitoring. [1]</w:t>
      </w:r>
    </w:p>
    <w:p>
      <w:r>
        <w:t>Submission routes, tool screens, required signatures, decision labels, and reassessment triggers vary by authority. The course teaches the underlying records and handoffs, then applies the approved local workflow.</w:t>
      </w:r>
    </w:p>
    <w:p>
      <w:pPr>
        <w:pStyle w:val="Heading1"/>
        <w:pageBreakBefore/>
      </w:pPr>
      <w:r>
        <w:t>The Body of Evidence roadmap</w:t>
      </w:r>
    </w:p>
    <w:p>
      <w:r>
        <w:t>The Body of Evidence (BoE) is the connected set of records supporting system and control claims. The authorization package is the decision-focused collection submitted or made available to the AO. NIST identifies the executive summary, security and privacy plans, assessment reports, and POA&amp;Ms as core package components; supporting artifacts depend on the applicable requirements. [1]</w:t>
      </w:r>
    </w:p>
    <w:tbl>
      <w:tblPr>
        <w:tblW w:type="auto" w:w="0"/>
        <w:jc w:val="center"/>
        <w:tblLayout w:type="fixed"/>
        <w:tblLook w:firstColumn="1" w:firstRow="1" w:lastColumn="0" w:lastRow="0" w:noHBand="0" w:noVBand="1" w:val="04A0"/>
      </w:tblPr>
      <w:tblGrid>
        <w:gridCol w:w="2880"/>
        <w:gridCol w:w="6480"/>
        <w:gridCol w:w="864"/>
      </w:tblGrid>
      <w:tr>
        <w:trPr>
          <w:cantSplit/>
          <w:tblHeader/>
        </w:trPr>
        <w:tc>
          <w:tcPr>
            <w:tcW w:type="dxa" w:w="28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Artifact or record</w:t>
            </w:r>
          </w:p>
        </w:tc>
        <w:tc>
          <w:tcPr>
            <w:tcW w:type="dxa" w:w="64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Purpose in the course</w:t>
            </w:r>
          </w:p>
        </w:tc>
        <w:tc>
          <w:tcPr>
            <w:tcW w:type="dxa" w:w="864"/>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Begins</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Authority and scope record</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Capture governing direction, boundary decisions, responsibilities, and adopted document versions.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Inventory and architecture</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Show components, data flows, management paths, dependencies, and external services.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Categorization rationale</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information types, mission impacts, and the required approval path.</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03</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Control baseline and SCTM</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 selection, tailoring, parameters, ownership, inheritance, implementation, evidence, and findings.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SSP and privacy material</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Describe the system and control implementation; document privacy applicability and required treatment.</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Policies and supporting plans</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Cover configuration, access, incident response, contingency, media, and other applicable processes.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Technical and operational proof</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Use configuration exports, hardening reviews, scans, log reviews, tickets, training records, and exercise results.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06</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Master evidence index</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Locate evidence by identifier, control/objective, system scope, owner, date, version, and status.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plan and SAR</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Define the assessment approach, then record observations, conclusions, findings, and limitations.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08</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analysis and POA&amp;M</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risk and track weaknesses, accountable actions, milestones, and verification.</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09</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Executive summary and manifest</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Present mission need, scope, posture, residual risk, and the exact package versions for review.</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Decision and monitoring records</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Record the decision exercise, operating conditions, monitoring obligations, and change reviews.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11–12</w:t>
            </w:r>
          </w:p>
        </w:tc>
      </w:tr>
    </w:tbl>
    <w:p>
      <w:pPr>
        <w:spacing w:after="0"/>
      </w:pPr>
      <w:r/>
    </w:p>
    <w:p>
      <w:r>
        <w:t>The SCTM is a course traceability tool; it is not a universally mandated standalone NIST package document. Artifact names, separate-document requirements, and approval routes follow the responsible authority. A risk assessment report may be called RAR or another local name.</w:t>
      </w:r>
    </w:p>
    <w:p>
      <w:r>
        <w:t xml:space="preserve">The starters and examples in the online Body of Evidence workspace are training templates, not universal government-approved forms.</w:t>
      </w:r>
    </w:p>
    <w:p>
      <w:pPr>
        <w:pStyle w:val="Heading1"/>
        <w:pageBreakBefore/>
      </w:pPr>
      <w:r>
        <w:t>A worked evidence trail</w:t>
      </w:r>
    </w:p>
    <w:p>
      <w:r>
        <w:t>This example follows a privileged account change through documentation, technical proof, assessment, and risk treatment. It demonstrates the connection learners must reproduce for other controls. All details are fictional.</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Evidence layer</w:t>
            </w:r>
          </w:p>
        </w:tc>
        <w:tc>
          <w:tcPr>
            <w:tcW w:type="dxa" w:w="799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Example</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Requirement</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Selected AU-2, AU-3, AU-6, and AU-12 requirements address event logging, record content, review, and generation. Confirm the adopted revision, parameters, enhancements, and assessment objectives before mapping. [2,3]</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Implementation statement</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domain controllers and management hosts generate the selected audit events with the required record content. Windows Event Forwarding (F17) carries them to the SBD-SYSLOG01 collector, which feeds Splunk (F10) and the SBD-AUDIT01 archive (F11). An assigned analyst reviews the defined events on the organization’s established schedule and tracks exceptions.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Supporting records</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EV-001 selected-event configuration; EV-002 source inventory; EV-003 sample privileged-account event; EV-004 query and review record; EV-005 exception ticket. Each record identifies system scope, owner, time, and version.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approach</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Examine the policy and configuration, interview the responsible analyst, and test a permitted account-change event in the lab. Verify that the expected record appears and is included in the review process.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Finding</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identity event arrives, but management host SBD-MGMT01 is absent from the source inventory and forwarding status. The available evidence does not support the claim of complete logging coverage.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and action</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the loss of visibility into privileged actions on that host. Assign corrective work, a target date, and verification criteria in the POA&amp;M. Preserve the finding and retest results.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Decision support</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 xml:space="preserve">Update the SSP claim and executive summary. Show the AO what is known, what remains unverified, how the risk affects the mission, and what response is proposed. Present the single-instance design for Splunk, Nessus, and ePO separately from findings: the SSP documents it (PL-2), the risk response gives its rationale and mitigation (RA-7), and the AO decides whether to accept the risk (CA-6).</w:t>
            </w:r>
          </w:p>
        </w:tc>
      </w:tr>
    </w:tbl>
    <w:p>
      <w:pPr>
        <w:spacing w:after="0"/>
      </w:pPr>
      <w:r/>
    </w:p>
    <w:p>
      <w:pPr>
        <w:pStyle w:val="Heading2"/>
      </w:pPr>
      <w:r>
        <w:t>What learners must be able to explain</w:t>
      </w:r>
    </w:p>
    <w:p>
      <w:pPr>
        <w:pStyle w:val="ListBullet"/>
      </w:pPr>
      <w:r>
        <w:t>A screenshot of a dashboard does not show whether every required source is covered or whether someone performed the required review.</w:t>
      </w:r>
    </w:p>
    <w:p>
      <w:pPr>
        <w:pStyle w:val="ListBullet"/>
      </w:pPr>
      <w:r>
        <w:t>A control can require several records, interviews, and tests. One evidence item may support several objectives without proving every part of each control.</w:t>
      </w:r>
    </w:p>
    <w:p>
      <w:pPr>
        <w:pStyle w:val="ListBullet"/>
      </w:pPr>
      <w:r>
        <w:t>A scan finding, a control assessment conclusion, and an authorization decision answer different questions. The evidence trail must preserve those distinctions.</w:t>
      </w:r>
    </w:p>
    <w:p>
      <w:r>
        <w:t>The illustrative mapping above is a starting point for instruction. Completeness depends on the selected control text, assessment procedures, system design, and the scope of the actual test.</w:t>
      </w:r>
    </w:p>
    <w:p>
      <w:pPr>
        <w:pStyle w:val="Heading1"/>
        <w:pageBreakBefore/>
      </w:pPr>
      <w:r>
        <w:t>Capstone and completion criteria</w:t>
      </w:r>
    </w:p>
    <w:p>
      <w:r>
        <w:t>The capstone adds approximately four hours after guided practice. Learners use their accumulated records to submit and defend the fictional enterprise’s package, then respond to a change after the decision exercise.</w:t>
      </w:r>
    </w:p>
    <w:p>
      <w:pPr>
        <w:pStyle w:val="Heading2"/>
      </w:pPr>
      <w:r>
        <w:t>Capstone deliverables</w:t>
      </w:r>
    </w:p>
    <w:p>
      <w:pPr>
        <w:pStyle w:val="ListBullet"/>
      </w:pPr>
      <w:r>
        <w:t>A package manifest with consistent versions, a system scope statement, inventory, architecture, and categorization rationale.</w:t>
      </w:r>
    </w:p>
    <w:p>
      <w:pPr>
        <w:pStyle w:val="ListBullet"/>
      </w:pPr>
      <w:r>
        <w:t>An SSP excerpt and SCTM covering nine selected practice controls: AC-2, AU-2, AU-3, AU-6, AU-12, CM-6, RA-5, SI-2, and CP-9. Record the exact requirements and objectives used; this subset is for teaching only. [2,3]</w:t>
      </w:r>
    </w:p>
    <w:p>
      <w:pPr>
        <w:pStyle w:val="ListBullet"/>
      </w:pPr>
      <w:r>
        <w:t>An evidence index, assessment plan, and SAR excerpt with supported conclusions for the chosen objectives.</w:t>
      </w:r>
    </w:p>
    <w:p>
      <w:pPr>
        <w:pStyle w:val="ListBullet"/>
      </w:pPr>
      <w:r>
        <w:t xml:space="preserve">At least two justified findings, contextual risk analysis, POA&amp;M entries, one remediation retest record, and the single-instance risk response (RA-7), documented in the SSP (PL-2) and presented for the AO’s acceptance decision (CA-6).</w:t>
      </w:r>
    </w:p>
    <w:p>
      <w:pPr>
        <w:pStyle w:val="ListBullet"/>
      </w:pPr>
      <w:r>
        <w:t>An executive summary, five minute risk briefing, decision exercise record, and monitoring/change-impact update.</w:t>
      </w:r>
    </w:p>
    <w:p>
      <w:pPr>
        <w:pStyle w:val="Heading2"/>
      </w:pPr>
      <w:r>
        <w:t>Scoring rubric</w:t>
      </w:r>
    </w:p>
    <w:tbl>
      <w:tblPr>
        <w:tblW w:type="auto" w:w="0"/>
        <w:jc w:val="center"/>
        <w:tblLayout w:type="fixed"/>
        <w:tblLook w:firstColumn="1" w:firstRow="1" w:lastColumn="0" w:lastRow="0" w:noHBand="0" w:noVBand="1" w:val="04A0"/>
      </w:tblPr>
      <w:tblGrid>
        <w:gridCol w:w="2520"/>
        <w:gridCol w:w="936"/>
        <w:gridCol w:w="6768"/>
      </w:tblGrid>
      <w:tr>
        <w:trPr>
          <w:cantSplit/>
          <w:tblHeader/>
        </w:trPr>
        <w:tc>
          <w:tcPr>
            <w:tcW w:type="dxa" w:w="252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Criterion</w:t>
            </w:r>
          </w:p>
        </w:tc>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Points</w:t>
            </w:r>
          </w:p>
        </w:tc>
        <w:tc>
          <w:tcPr>
            <w:tcW w:type="dxa" w:w="6768"/>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Observable standard</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System and authority</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Scope, dependencies, categorization, and governing requirements agree.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Traceability</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25</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Each selected objective links to implementation, evidence, and a conclusion or explicit gap.</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quality</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Methods and observations support the conclusions; limitations are visible.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and remediation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relates to mission impact; actions have owners, dates, and verification criteria.</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Review and sustainment</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package is consistent, the briefing is clear, and a change updates the right artifacts.</w:t>
            </w:r>
          </w:p>
        </w:tc>
      </w:tr>
    </w:tbl>
    <w:p>
      <w:pPr>
        <w:spacing w:after="0"/>
      </w:pPr>
      <w:r/>
    </w:p>
    <w:p>
      <w:r>
        <w:t xml:space="preserve">Course completion threshold: 80 of 100 points, with revisions required for missing evidence behind a claimed successful assessment, inconsistent system boundaries, or a claim that the learner has granted an actual ATO. This is a course standard, not an authorization criterion.</w:t>
      </w:r>
    </w:p>
    <w:p>
      <w:pPr>
        <w:pStyle w:val="Heading2"/>
      </w:pPr>
      <w:r>
        <w:t xml:space="preserve">Reviewer challenges</w:t>
      </w:r>
    </w:p>
    <w:p>
      <w:r>
        <w:t xml:space="preserve">Expect three changes during the review: an expired inherited-control reference, a scan with failed credentials, and a new service crossing the documented boundary. For each, explain the package impact, the required follow-up, and the decision owner.</w:t>
      </w:r>
    </w:p>
    <w:p>
      <w:r>
        <w:t>Completion may be recorded as Secure By Design course completion. It does not represent government certification, assessor qualification, clearance eligibility, or authorization of a real system.</w:t>
      </w:r>
    </w:p>
    <w:p>
      <w:pPr>
        <w:pStyle w:val="Heading1"/>
        <w:pageBreakBefore/>
      </w:pPr>
      <w:r>
        <w:t>Applicable guidance and references</w:t>
      </w:r>
    </w:p>
    <w:p>
      <w:r>
        <w:t xml:space="preserve">Choose the governing context before applying a template. NIST provides the RMF foundation; DoD, national security system, SAP, and DCSA requirements must be applied according to the responsible authority and the approved system context. Record the sources and versions you apply, and recheck them before each use.</w:t>
      </w:r>
    </w:p>
    <w:p>
      <w:pPr>
        <w:pStyle w:val="Heading2"/>
      </w:pPr>
      <w:r>
        <w:t xml:space="preserve">Distinctions the course teaches</w:t>
      </w:r>
    </w:p>
    <w:p>
      <w:pPr>
        <w:pStyle w:val="ListBullet"/>
      </w:pPr>
      <w:r>
        <w:t>DoD systems: use applicable DoDI 8510.01 direction and Component/AO requirements. National security system categorization and control selection require the applicable CNSS direction; do not assume a generic federal baseline resolves that selection. [5]</w:t>
      </w:r>
    </w:p>
    <w:p>
      <w:pPr>
        <w:pStyle w:val="ListBullet"/>
      </w:pPr>
      <w:r>
        <w:t>DoD SAP context: DoDM 5205.07 dated January 17, 2025 addresses the SAP enterprise and refers to JSIG or its successor. Confirm the program-approved implementation guidance and control revisions instead of presenting an older public JSIG copy as universally current. [6]</w:t>
      </w:r>
    </w:p>
    <w:p>
      <w:pPr>
        <w:pStyle w:val="ListBullet"/>
      </w:pPr>
      <w:r>
        <w:t xml:space="preserve">DCSA context: DCSA has announced the DCSA Assessment and Authorization Guide (DAAG) as the successor to the DAAPM. Confirm the version and effective date that apply, obtain the guide and supporting instructions through authorized DCSA channels, and check whether DAAPM 2.2 still applies before citing it as the governing manual. [7]</w:t>
      </w:r>
    </w:p>
    <w:p>
      <w:pPr>
        <w:pStyle w:val="ListBullet"/>
      </w:pPr>
      <w:r>
        <w:t>NIST control versions: the official SP 800-53, 800-53A, and 800-53B pages identify Release 5.2.0 dated August 27, 2025. An authority may prescribe a particular adopted version; record that choice and map revisions explicitly. [2–4]</w:t>
      </w:r>
    </w:p>
    <w:p>
      <w:pPr>
        <w:spacing w:after="140"/>
      </w:pPr>
      <w:r/>
      <w:r>
        <w:rPr>
          <w:b/>
        </w:rPr>
        <w:t xml:space="preserve">[1] </w:t>
      </w:r>
      <w:hyperlink r:id="rId10">
        <w:r>
          <w:rPr>
            <w:color w:val="174C75"/>
            <w:sz w:val="20"/>
          </w:rPr>
          <w:t>NIST SP 800-37 Revision 2</w:t>
        </w:r>
      </w:hyperlink>
      <w:r>
        <w:rPr>
          <w:sz w:val="20"/>
        </w:rPr>
        <w:t xml:space="preserve"> — RMF lifecycle, authorization package, roles, and monitoring. See Authorize Task R-1 and Appendix F.</w:t>
      </w:r>
    </w:p>
    <w:p>
      <w:pPr>
        <w:spacing w:after="140"/>
      </w:pPr>
      <w:r/>
      <w:r>
        <w:rPr>
          <w:b/>
        </w:rPr>
        <w:t xml:space="preserve">[2] </w:t>
      </w:r>
      <w:hyperlink r:id="rId11">
        <w:r>
          <w:rPr>
            <w:color w:val="174C75"/>
            <w:sz w:val="20"/>
          </w:rPr>
          <w:t>NIST SP 800-53 Revision 5</w:t>
        </w:r>
      </w:hyperlink>
      <w:r>
        <w:rPr>
          <w:sz w:val="20"/>
        </w:rPr>
        <w:t xml:space="preserve"> — Security and privacy controls; official page links to Release 5.2.0.</w:t>
      </w:r>
    </w:p>
    <w:p>
      <w:pPr>
        <w:spacing w:after="140"/>
      </w:pPr>
      <w:r/>
      <w:r>
        <w:rPr>
          <w:b/>
        </w:rPr>
        <w:t xml:space="preserve">[3] </w:t>
      </w:r>
      <w:hyperlink r:id="rId12">
        <w:r>
          <w:rPr>
            <w:color w:val="174C75"/>
            <w:sz w:val="20"/>
          </w:rPr>
          <w:t>NIST SP 800-53A Revision 5</w:t>
        </w:r>
      </w:hyperlink>
      <w:r>
        <w:rPr>
          <w:sz w:val="20"/>
        </w:rPr>
        <w:t xml:space="preserve"> — Assessment procedures and methods; official page links to Release 5.2.0.</w:t>
      </w:r>
    </w:p>
    <w:p>
      <w:pPr>
        <w:spacing w:after="140"/>
      </w:pPr>
      <w:r/>
      <w:r>
        <w:rPr>
          <w:b/>
        </w:rPr>
        <w:t xml:space="preserve">[4] </w:t>
      </w:r>
      <w:hyperlink r:id="rId13">
        <w:r>
          <w:rPr>
            <w:color w:val="174C75"/>
            <w:sz w:val="20"/>
          </w:rPr>
          <w:t>NIST SP 800-53B</w:t>
        </w:r>
      </w:hyperlink>
      <w:r>
        <w:rPr>
          <w:sz w:val="20"/>
        </w:rPr>
        <w:t xml:space="preserve"> — Control baselines, tailoring, and overlays.</w:t>
      </w:r>
    </w:p>
    <w:p>
      <w:pPr>
        <w:spacing w:after="140"/>
      </w:pPr>
      <w:r/>
      <w:r>
        <w:rPr>
          <w:b/>
        </w:rPr>
        <w:t xml:space="preserve">[5] </w:t>
      </w:r>
      <w:hyperlink r:id="rId14">
        <w:r>
          <w:rPr>
            <w:color w:val="174C75"/>
            <w:sz w:val="20"/>
          </w:rPr>
          <w:t>DoDI 8510.01</w:t>
        </w:r>
      </w:hyperlink>
      <w:r>
        <w:rPr>
          <w:sz w:val="20"/>
        </w:rPr>
        <w:t xml:space="preserve"> — Risk Management Framework for DoD Systems, July 19, 2022.</w:t>
      </w:r>
    </w:p>
    <w:p>
      <w:pPr>
        <w:spacing w:after="140"/>
      </w:pPr>
      <w:r/>
      <w:r>
        <w:rPr>
          <w:b/>
        </w:rPr>
        <w:t xml:space="preserve">[6] </w:t>
      </w:r>
      <w:hyperlink r:id="rId15">
        <w:r>
          <w:rPr>
            <w:color w:val="174C75"/>
            <w:sz w:val="20"/>
          </w:rPr>
          <w:t>DoDM 5205.07</w:t>
        </w:r>
      </w:hyperlink>
      <w:r>
        <w:rPr>
          <w:sz w:val="20"/>
        </w:rPr>
        <w:t xml:space="preserve"> — Special Access Program Security Manual, January 17, 2025.</w:t>
      </w:r>
    </w:p>
    <w:p>
      <w:pPr>
        <w:spacing w:after="140"/>
      </w:pPr>
      <w:r/>
      <w:r>
        <w:rPr>
          <w:b/>
        </w:rPr>
        <w:t xml:space="preserve">[7] </w:t>
      </w:r>
      <w:hyperlink r:id="rId16">
        <w:r>
          <w:rPr>
            <w:color w:val="174C75"/>
            <w:sz w:val="20"/>
          </w:rPr>
          <w:t>DCSA Voice of Industry September 2025</w:t>
        </w:r>
      </w:hyperlink>
      <w:r>
        <w:rPr>
          <w:sz w:val="20"/>
        </w:rPr>
        <w:t xml:space="preserve"> — DCSA newsletter for cleared industry on the DAAG transition. Confirm the current guide and effective date with DCSA.</w:t>
      </w:r>
    </w:p>
    <w:p>
      <w:r>
        <w:rPr>
          <w:sz w:val="18"/>
        </w:rPr>
        <w:t>Reference review date: October 4, 2026. The source register identifies the public foundation for this curriculum; operational package requirements and the adopted policy set are established by the responsible authority.</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 2026 Secure By Design Team LLC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rc.nist.gov/pubs/sp/800/37/r2/final" TargetMode="External"/><Relationship Id="rId11" Type="http://schemas.openxmlformats.org/officeDocument/2006/relationships/hyperlink" Target="https://csrc.nist.gov/pubs/sp/800/53/r5/upd1/final" TargetMode="External"/><Relationship Id="rId12" Type="http://schemas.openxmlformats.org/officeDocument/2006/relationships/hyperlink" Target="https://csrc.nist.gov/pubs/sp/800/53/a/r5/final" TargetMode="External"/><Relationship Id="rId13" Type="http://schemas.openxmlformats.org/officeDocument/2006/relationships/hyperlink" Target="https://csrc.nist.gov/pubs/sp/800/53/b/upd1/final" TargetMode="External"/><Relationship Id="rId14" Type="http://schemas.openxmlformats.org/officeDocument/2006/relationships/hyperlink" Target="https://www.esd.whs.mil/Portals/54/Documents/DD/issuances/dodi/851001p.pdf" TargetMode="External"/><Relationship Id="rId15" Type="http://schemas.openxmlformats.org/officeDocument/2006/relationships/hyperlink" Target="https://www.esd.whs.mil/Portals/54/Documents/DD/issuances/dodm/520507m1.PDF" TargetMode="External"/><Relationship Id="rId16" Type="http://schemas.openxmlformats.org/officeDocument/2006/relationships/hyperlink" Target="https://www.dcsa.mil/Portals/128/Documents/CTP/tools/250930%20VOI%20Newslet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Framework, Body of Evidence &amp; Authorization to Operate — Training Catalog</dc:title>
  <dc:subject>Apply the Risk Management Framework to the Inside the Network build, develop its Body of Evidence, and prepare its Authorization to Operate package</dc:subject>
  <dc:creator>Secure By Design</dc:creator>
  <cp:keywords>Risk Management Framework; RMF; Body of Evidence; Authorization to Operate; ATO; NIST SP 800-37; training</cp:keywords>
  <dc:description>Courses 2.1–2.3 · Materials edition 1.3 · Updated October 8, 2026 · © 2026 Secure By Design Team LLC</dc:description>
  <cp:lastModifiedBy>Secure By Design</cp:lastModifiedBy>
  <cp:revision>1</cp:revision>
  <dcterms:created xsi:type="dcterms:W3CDTF">2026-10-04T00:00:00Z</dcterms:created>
  <dcterms:modified xsi:type="dcterms:W3CDTF">2026-10-08T00:00:00Z</dcterms:modified>
  <cp:category>Training catalog</cp:category>
  <dc:language>en-US</dc:language>
</cp:coreProperties>
</file>