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Harden the baseline</w:t>
      </w:r>
    </w:p>
    <w:p>
      <w:pPr>
        <w:spacing w:after="360" w:before="0" w:line="288" w:lineRule="auto"/>
      </w:pPr>
      <w:r>
        <w:rPr>
          <w:rFonts w:ascii="Arial" w:cs="Arial" w:eastAsia="Arial" w:hAnsi="Arial"/>
          <w:b/>
          <w:bCs/>
          <w:color w:val="20647C"/>
          <w:sz w:val="30"/>
          <w:szCs w:val="30"/>
        </w:rPr>
        <w:t xml:space="preserve">OU design, DISA GPOs &amp; STIG/SCAP verification</w:t>
      </w:r>
    </w:p>
    <w:p>
      <w:pPr>
        <w:spacing w:after="600" w:before="0" w:line="288" w:lineRule="auto"/>
      </w:pPr>
      <w:r>
        <w:rPr>
          <w:rFonts w:ascii="Arial" w:cs="Arial" w:eastAsia="Arial" w:hAnsi="Arial"/>
          <w:color w:val="526B7E"/>
          <w:sz w:val="21"/>
          <w:szCs w:val="21"/>
        </w:rPr>
        <w:t xml:space="preserve">Design the organizational unit structure, apply the DISA STIG Group Policy package to the verified network core, and prove the result with before-and-after SCAP scans, reconciled checklists, and a documented exception record.</w:t>
      </w:r>
    </w:p>
    <w:p>
      <w:pPr>
        <w:spacing w:after="80" w:before="0" w:line="288" w:lineRule="auto"/>
      </w:pPr>
      <w:r>
        <w:rPr>
          <w:rFonts w:ascii="Arial" w:cs="Arial" w:eastAsia="Arial" w:hAnsi="Arial"/>
          <w:color w:val="20647C"/>
          <w:sz w:val="16"/>
          <w:szCs w:val="16"/>
        </w:rPr>
        <w:t xml:space="preserve">MATERIALS EDITION 1.1    /    COURSE 1.3</w:t>
      </w:r>
    </w:p>
    <w:p>
      <w:pPr>
        <w:spacing w:after="80" w:before="0" w:line="288" w:lineRule="auto"/>
      </w:pPr>
      <w:r>
        <w:rPr>
          <w:rFonts w:ascii="Arial" w:cs="Arial" w:eastAsia="Arial" w:hAnsi="Arial"/>
          <w:color w:val="526B7E"/>
          <w:sz w:val="16"/>
          <w:szCs w:val="16"/>
        </w:rPr>
        <w:t xml:space="preserve">Updated 8 October 2026  ·  sbd-harden-baseline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harden-bas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ou-design">
        <w:r>
          <w:rPr>
            <w:rFonts w:ascii="Arial" w:cs="Arial" w:eastAsia="Arial" w:hAnsi="Arial"/>
            <w:color w:val="20647C"/>
            <w:sz w:val="21"/>
            <w:szCs w:val="21"/>
          </w:rPr>
          <w:t xml:space="preserve">01  Design and build the OU structure</w:t>
        </w:r>
      </w:hyperlink>
    </w:p>
    <w:p>
      <w:pPr>
        <w:spacing w:after="90" w:before="0" w:line="288" w:lineRule="auto"/>
      </w:pPr>
      <w:hyperlink w:history="1" w:anchor="lesson-staging">
        <w:r>
          <w:rPr>
            <w:rFonts w:ascii="Arial" w:cs="Arial" w:eastAsia="Arial" w:hAnsi="Arial"/>
            <w:color w:val="20647C"/>
            <w:sz w:val="21"/>
            <w:szCs w:val="21"/>
          </w:rPr>
          <w:t xml:space="preserve">02  Stage the tooling across the air gap</w:t>
        </w:r>
      </w:hyperlink>
    </w:p>
    <w:p>
      <w:pPr>
        <w:spacing w:after="90" w:before="0" w:line="288" w:lineRule="auto"/>
      </w:pPr>
      <w:hyperlink w:history="1" w:anchor="lesson-baseline">
        <w:r>
          <w:rPr>
            <w:rFonts w:ascii="Arial" w:cs="Arial" w:eastAsia="Arial" w:hAnsi="Arial"/>
            <w:color w:val="20647C"/>
            <w:sz w:val="21"/>
            <w:szCs w:val="21"/>
          </w:rPr>
          <w:t xml:space="preserve">03  Capture the pre-hardening baseline</w:t>
        </w:r>
      </w:hyperlink>
    </w:p>
    <w:p>
      <w:pPr>
        <w:spacing w:after="90" w:before="0" w:line="288" w:lineRule="auto"/>
      </w:pPr>
      <w:hyperlink w:history="1" w:anchor="lesson-apply">
        <w:r>
          <w:rPr>
            <w:rFonts w:ascii="Arial" w:cs="Arial" w:eastAsia="Arial" w:hAnsi="Arial"/>
            <w:color w:val="20647C"/>
            <w:sz w:val="21"/>
            <w:szCs w:val="21"/>
          </w:rPr>
          <w:t xml:space="preserve">04  Import and link the DISA GPOs</w:t>
        </w:r>
      </w:hyperlink>
    </w:p>
    <w:p>
      <w:pPr>
        <w:spacing w:after="90" w:before="0" w:line="288" w:lineRule="auto"/>
      </w:pPr>
      <w:hyperlink w:history="1" w:anchor="lesson-rescan">
        <w:r>
          <w:rPr>
            <w:rFonts w:ascii="Arial" w:cs="Arial" w:eastAsia="Arial" w:hAnsi="Arial"/>
            <w:color w:val="20647C"/>
            <w:sz w:val="21"/>
            <w:szCs w:val="21"/>
          </w:rPr>
          <w:t xml:space="preserve">05  Rescan, reconcile, and record</w:t>
        </w:r>
      </w:hyperlink>
    </w:p>
    <w:p>
      <w:pPr>
        <w:spacing w:after="90" w:before="0" w:line="288" w:lineRule="auto"/>
      </w:pPr>
      <w:hyperlink w:history="1" w:anchor="lesson-maintain">
        <w:r>
          <w:rPr>
            <w:rFonts w:ascii="Arial" w:cs="Arial" w:eastAsia="Arial" w:hAnsi="Arial"/>
            <w:color w:val="20647C"/>
            <w:sz w:val="21"/>
            <w:szCs w:val="21"/>
          </w:rPr>
          <w:t xml:space="preserve">06  Set the rescan cadence and exception record</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designs the organizational unit (OU) structure, applies the Defense Information Systems Agency (DISA) Security Technical Implementation Guide (STIG) Group Policy package, and verifies the result with Security Content Automation Protocol (SCAP) scans. Paths, versions, and session locations below are examples — adapt them to your tooling. Expect STIG settings to change behavior: that is the point, and the reason everything is scanned and recorded.</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the identity build and DNS courses with replication and name resolution verified on both controllers.</w:t>
      </w:r>
    </w:p>
    <w:p>
      <w:pPr>
        <w:pStyle w:val="ListParagraph"/>
        <w:numPr>
          <w:ilvl w:val="0"/>
          <w:numId w:val="2"/>
        </w:numPr>
        <w:spacing w:after="120" w:before="0" w:line="288" w:lineRule="auto"/>
      </w:pPr>
      <w:r>
        <w:rPr>
          <w:rFonts w:ascii="Arial" w:cs="Arial" w:eastAsia="Arial" w:hAnsi="Arial"/>
          <w:color w:val="526B7E"/>
          <w:sz w:val="21"/>
          <w:szCs w:val="21"/>
        </w:rPr>
        <w:t xml:space="preserve">Use the isolated Windows Server 2025 environment and an account approved for organizational unit and Group Policy administration.</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and removable-media procedure for bringing downloaded hardening content into the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OUs for delegation and policy targeting, and redirect the default containers.</w:t>
      </w:r>
    </w:p>
    <w:p>
      <w:pPr>
        <w:pStyle w:val="ListParagraph"/>
        <w:numPr>
          <w:ilvl w:val="0"/>
          <w:numId w:val="3"/>
        </w:numPr>
        <w:spacing w:after="120" w:before="0" w:line="288" w:lineRule="auto"/>
      </w:pPr>
      <w:r>
        <w:rPr>
          <w:rFonts w:ascii="Arial" w:cs="Arial" w:eastAsia="Arial" w:hAnsi="Arial"/>
          <w:color w:val="526B7E"/>
          <w:sz w:val="21"/>
          <w:szCs w:val="21"/>
        </w:rPr>
        <w:t xml:space="preserve">Import the DISA GPO package and link STIG policies by organizational unit.</w:t>
      </w:r>
    </w:p>
    <w:p>
      <w:pPr>
        <w:pStyle w:val="ListParagraph"/>
        <w:numPr>
          <w:ilvl w:val="0"/>
          <w:numId w:val="3"/>
        </w:numPr>
        <w:spacing w:after="120" w:before="0" w:line="288" w:lineRule="auto"/>
      </w:pPr>
      <w:r>
        <w:rPr>
          <w:rFonts w:ascii="Arial" w:cs="Arial" w:eastAsia="Arial" w:hAnsi="Arial"/>
          <w:color w:val="526B7E"/>
          <w:sz w:val="21"/>
          <w:szCs w:val="21"/>
        </w:rPr>
        <w:t xml:space="preserve">Verify hardening with baseline and rescan SCAP results, reconciled checklists, and documented exceptions.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ou-design" w:id="3"/>
      <w:r>
        <w:rPr>
          <w:rFonts w:ascii="Arial" w:cs="Arial" w:eastAsia="Arial" w:hAnsi="Arial"/>
          <w:b/>
          <w:bCs/>
          <w:color w:val="193448"/>
          <w:sz w:val="40"/>
          <w:szCs w:val="40"/>
        </w:rPr>
        <w:t xml:space="preserve">Design and build the OU structure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Organizational units exist for delegation and Group Policy targeting, not to mirror an org chart. Build the structure the hardening policies will hang on before importing any of them.</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Design an OU structure around delegation and Group Policy targeting.</w:t>
      </w:r>
    </w:p>
    <w:p>
      <w:pPr>
        <w:pStyle w:val="ListParagraph"/>
        <w:numPr>
          <w:ilvl w:val="0"/>
          <w:numId w:val="3"/>
        </w:numPr>
        <w:spacing w:after="120" w:before="0" w:line="288" w:lineRule="auto"/>
      </w:pPr>
      <w:r>
        <w:rPr>
          <w:rFonts w:ascii="Arial" w:cs="Arial" w:eastAsia="Arial" w:hAnsi="Arial"/>
          <w:color w:val="526B7E"/>
          <w:sz w:val="21"/>
          <w:szCs w:val="21"/>
        </w:rPr>
        <w:t xml:space="preserve">Create protected OUs and redirect the default Computers and Users containers.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built-in Domain Controllers OU stays untouched.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Design the structure by administration: a top-level SBD OU containing Servers, Workstations, Users, Groups, and an Admin OU for privileged accounts. The built-in Domain Controllers OU stays where it is and keeps its name.</w:t>
      </w:r>
    </w:p>
    <w:p>
      <w:pPr>
        <w:pStyle w:val="ListParagraph"/>
        <w:numPr>
          <w:ilvl w:val="0"/>
          <w:numId w:val="4"/>
        </w:numPr>
        <w:spacing w:after="120" w:before="0" w:line="288" w:lineRule="auto"/>
      </w:pPr>
      <w:r>
        <w:rPr>
          <w:rFonts w:ascii="Arial" w:cs="Arial" w:eastAsia="Arial" w:hAnsi="Arial"/>
          <w:color w:val="526B7E"/>
          <w:sz w:val="21"/>
          <w:szCs w:val="21"/>
        </w:rPr>
        <w:t xml:space="preserve">Create the planned OUs with accidental-deletion protection enabled. Record each OU's purpose and who will administer its contents; an OU with no delegation or policy purpose is clutter.</w:t>
      </w:r>
    </w:p>
    <w:p>
      <w:pPr>
        <w:pStyle w:val="ListParagraph"/>
        <w:numPr>
          <w:ilvl w:val="0"/>
          <w:numId w:val="4"/>
        </w:numPr>
        <w:spacing w:after="120" w:before="0" w:line="288" w:lineRule="auto"/>
      </w:pPr>
      <w:r>
        <w:rPr>
          <w:rFonts w:ascii="Arial" w:cs="Arial" w:eastAsia="Arial" w:hAnsi="Arial"/>
          <w:color w:val="526B7E"/>
          <w:sz w:val="21"/>
          <w:szCs w:val="21"/>
        </w:rPr>
        <w:t xml:space="preserve">Redirect the default Computers and Users containers to managed OUs with redircmp and redirusr. Group Policy cannot be linked to the default containers, so anything landing there would get only domain-level policy, never the OU-linked hardening.</w:t>
      </w:r>
    </w:p>
    <w:p>
      <w:pPr>
        <w:pStyle w:val="ListParagraph"/>
        <w:numPr>
          <w:ilvl w:val="0"/>
          <w:numId w:val="4"/>
        </w:numPr>
        <w:spacing w:after="120" w:before="0" w:line="288" w:lineRule="auto"/>
      </w:pPr>
      <w:r>
        <w:rPr>
          <w:rFonts w:ascii="Arial" w:cs="Arial" w:eastAsia="Arial" w:hAnsi="Arial"/>
          <w:color w:val="526B7E"/>
          <w:sz w:val="21"/>
          <w:szCs w:val="21"/>
        </w:rPr>
        <w:t xml:space="preserve">Keep privileged accounts and systems separate: the Admin OU holds the identities that administer domain controllers. The issuing CA from course 1.4 joins the Servers OU for now; course 1.7 gives Tier 0 servers their own OU. Do not nest deeper than the delegation plan requires.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ComputersContainer, UsersContainer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(Get-ADOrganizationalUnit -Identity 'OU=SBD,DC=sbd,DC=test' -Properties ProtectedFromAccidentalDeletion).ProtectedFromAccidentalDeletion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planned OUs exist with deletion protection, the default container redirects point at managed OUs, and each OU has a recorded purpose and administrator.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design sheet: each OU's distinguished name, purpose, delegated administrator, and the redirect commands with their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should drive the shape of the OU structure?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OUs follow administration, not the org chart.  The default containers are redirected so nothing joins unmanaged.  The Domain Controllers OU remains the link point for DC policies.</w:t>
      </w:r>
    </w:p>
    <w:p>
      <w:pPr>
        <w:spacing w:after="60" w:before="0" w:line="288" w:lineRule="auto"/>
      </w:pPr>
      <w:hyperlink w:history="1" r:id="rId3q3ssmycbjo8oazf-lr51">
        <w:r>
          <w:rPr>
            <w:rFonts w:ascii="Arial" w:cs="Arial" w:eastAsia="Arial" w:hAnsi="Arial"/>
            <w:color w:val="20647C"/>
            <w:sz w:val="18"/>
            <w:szCs w:val="18"/>
            <w:u w:val="single"/>
          </w:rPr>
          <w:t xml:space="preserve">Microsoft · New-ADOrganizationalUnit</w:t>
        </w:r>
      </w:hyperlink>
    </w:p>
    <w:p>
      <w:pPr>
        <w:spacing w:after="60" w:before="0" w:line="288" w:lineRule="auto"/>
      </w:pPr>
      <w:hyperlink w:history="1" r:id="rIdclxzj5rzjjtiwgxchjbju">
        <w:r>
          <w:rPr>
            <w:rFonts w:ascii="Arial" w:cs="Arial" w:eastAsia="Arial" w:hAnsi="Arial"/>
            <w:color w:val="20647C"/>
            <w:sz w:val="18"/>
            <w:szCs w:val="18"/>
            <w:u w:val="single"/>
          </w:rPr>
          <w:t xml:space="preserve">Microsoft · Redirect the Users and Computers containers</w:t>
        </w:r>
      </w:hyperlink>
    </w:p>
    <w:p>
      <w:r>
        <w:br w:type="page"/>
      </w:r>
    </w:p>
    <w:p>
      <w:pPr>
        <w:spacing w:after="80" w:before="0" w:line="288" w:lineRule="auto"/>
      </w:pPr>
      <w:r>
        <w:rPr>
          <w:rFonts w:ascii="Arial" w:cs="Arial" w:eastAsia="Arial" w:hAnsi="Arial"/>
          <w:b/>
          <w:bCs/>
          <w:color w:val="20647C"/>
          <w:sz w:val="16"/>
          <w:szCs w:val="16"/>
        </w:rPr>
        <w:t xml:space="preserve">LESSON 02  /  ABOUT 15 MIN</w:t>
      </w:r>
    </w:p>
    <w:p>
      <w:pPr>
        <w:pStyle w:val="Heading1"/>
        <w:spacing w:after="120"/>
      </w:pPr>
      <w:bookmarkStart w:name="lesson-staging" w:id="4"/>
      <w:r>
        <w:rPr>
          <w:rFonts w:ascii="Arial" w:cs="Arial" w:eastAsia="Arial" w:hAnsi="Arial"/>
          <w:b/>
          <w:bCs/>
          <w:color w:val="193448"/>
          <w:sz w:val="40"/>
          <w:szCs w:val="40"/>
        </w:rPr>
        <w:t xml:space="preserve">Stage the tooling across the air gap</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hardening content is downloaded artifacts: the DISA Group Policy object (GPO) package, the SCAP Compliance Checker (SCC), and STIG Viewer. They cross the boundary the way everything does here — reviewed, hashed, and carried on approved removable media.</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DISA artifacts the hardening work needs.</w:t>
      </w:r>
    </w:p>
    <w:p>
      <w:pPr>
        <w:pStyle w:val="ListParagraph"/>
        <w:numPr>
          <w:ilvl w:val="0"/>
          <w:numId w:val="3"/>
        </w:numPr>
        <w:spacing w:after="120" w:before="0" w:line="288" w:lineRule="auto"/>
      </w:pPr>
      <w:r>
        <w:rPr>
          <w:rFonts w:ascii="Arial" w:cs="Arial" w:eastAsia="Arial" w:hAnsi="Arial"/>
          <w:color w:val="526B7E"/>
          <w:sz w:val="21"/>
          <w:szCs w:val="21"/>
        </w:rPr>
        <w:t xml:space="preserve">Move downloaded tooling across the air gap with hash verification.</w:t>
      </w:r>
    </w:p>
    <w:p>
      <w:pPr>
        <w:pStyle w:val="ListParagraph"/>
        <w:numPr>
          <w:ilvl w:val="0"/>
          <w:numId w:val="3"/>
        </w:numPr>
        <w:spacing w:after="120" w:before="0" w:line="288" w:lineRule="auto"/>
      </w:pPr>
      <w:r>
        <w:rPr>
          <w:rFonts w:ascii="Arial" w:cs="Arial" w:eastAsia="Arial" w:hAnsi="Arial"/>
          <w:color w:val="526B7E"/>
          <w:sz w:val="21"/>
          <w:szCs w:val="21"/>
        </w:rPr>
        <w:t xml:space="preserve">Record versions so scans stay comparable over time.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On an approved connected system, download the current DISA GPO package and the SRG/STIG tools (SCC and STIG Viewer) from DISA's public site. Note each file's version and the quarterly release it belongs to.</w:t>
      </w:r>
    </w:p>
    <w:p>
      <w:pPr>
        <w:pStyle w:val="ListParagraph"/>
        <w:numPr>
          <w:ilvl w:val="0"/>
          <w:numId w:val="5"/>
        </w:numPr>
        <w:spacing w:after="120" w:before="0" w:line="288" w:lineRule="auto"/>
      </w:pPr>
      <w:r>
        <w:rPr>
          <w:rFonts w:ascii="Arial" w:cs="Arial" w:eastAsia="Arial" w:hAnsi="Arial"/>
          <w:color w:val="526B7E"/>
          <w:sz w:val="21"/>
          <w:szCs w:val="21"/>
        </w:rPr>
        <w:t xml:space="preserve">Record a SHA-256 hash for every file on the connected side, then transfer the set with the approved removable-media procedure. No live link to the lab is created for convenience.</w:t>
      </w:r>
    </w:p>
    <w:p>
      <w:pPr>
        <w:pStyle w:val="ListParagraph"/>
        <w:numPr>
          <w:ilvl w:val="0"/>
          <w:numId w:val="5"/>
        </w:numPr>
        <w:spacing w:after="120" w:before="0" w:line="288" w:lineRule="auto"/>
      </w:pPr>
      <w:r>
        <w:rPr>
          <w:rFonts w:ascii="Arial" w:cs="Arial" w:eastAsia="Arial" w:hAnsi="Arial"/>
          <w:color w:val="526B7E"/>
          <w:sz w:val="21"/>
          <w:szCs w:val="21"/>
        </w:rPr>
        <w:t xml:space="preserve">In the lab, recalculate and compare every hash before opening anything. A mismatch stops the work, exactly as it would in the PKI signing ceremony.</w:t>
      </w:r>
    </w:p>
    <w:p>
      <w:pPr>
        <w:pStyle w:val="ListParagraph"/>
        <w:numPr>
          <w:ilvl w:val="0"/>
          <w:numId w:val="5"/>
        </w:numPr>
        <w:spacing w:after="120" w:before="0" w:line="288" w:lineRule="auto"/>
      </w:pPr>
      <w:r>
        <w:rPr>
          <w:rFonts w:ascii="Arial" w:cs="Arial" w:eastAsia="Arial" w:hAnsi="Arial"/>
          <w:color w:val="526B7E"/>
          <w:sz w:val="21"/>
          <w:szCs w:val="21"/>
        </w:rPr>
        <w:t xml:space="preserve">Install SCC and STIG Viewer on an administrative host and stage the GPO package where the import lesson can reach it. Record tool versions; scan results are only comparable when the benchmark and tool versions are known.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 Select-Object Name, Length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C:\Staging\DISA\*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transferred file's hash matches the value recorded on the connected side, and tool and package versions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transfer record: file names, versions, both hash sets, media custody, and the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hash the files on both sides of the transfer?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GPO package, SCC, and STIG Viewer come from DISA's public site.  Hashes are recorded on both sides of the boundary.  Tool and package versions are part of the evidence.</w:t>
      </w:r>
    </w:p>
    <w:p>
      <w:pPr>
        <w:spacing w:after="60" w:before="0" w:line="288" w:lineRule="auto"/>
      </w:pPr>
      <w:hyperlink w:history="1" r:id="rIdrhybrfxruzw38c_4otqqt">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feid_q9qzykx0ihciwcry">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baseline" w:id="5"/>
      <w:r>
        <w:rPr>
          <w:rFonts w:ascii="Arial" w:cs="Arial" w:eastAsia="Arial" w:hAnsi="Arial"/>
          <w:b/>
          <w:bCs/>
          <w:color w:val="193448"/>
          <w:sz w:val="40"/>
          <w:szCs w:val="40"/>
        </w:rPr>
        <w:t xml:space="preserve">Capture the pre-hardening baseline</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Measure before you change. A scan of the freshly built controllers shows the honest starting point, teaches what the operating system already secures by default, and becomes the before picture every later scan is compared against.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a SCAP baseline scan against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automated results from manual-review items.</w:t>
      </w:r>
    </w:p>
    <w:p>
      <w:pPr>
        <w:pStyle w:val="ListParagraph"/>
        <w:numPr>
          <w:ilvl w:val="0"/>
          <w:numId w:val="3"/>
        </w:numPr>
        <w:spacing w:after="120" w:before="0" w:line="288" w:lineRule="auto"/>
      </w:pPr>
      <w:r>
        <w:rPr>
          <w:rFonts w:ascii="Arial" w:cs="Arial" w:eastAsia="Arial" w:hAnsi="Arial"/>
          <w:color w:val="526B7E"/>
          <w:sz w:val="21"/>
          <w:szCs w:val="21"/>
        </w:rPr>
        <w:t xml:space="preserve">Preserve raw results as evidence with hashes and versions.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each domain controller, run SCC with the Windows Server 2025 STIG benchmark and the directory-related content staged for this course. Save each session's results with the host name and date.</w:t>
      </w:r>
    </w:p>
    <w:p>
      <w:pPr>
        <w:pStyle w:val="ListParagraph"/>
        <w:numPr>
          <w:ilvl w:val="0"/>
          <w:numId w:val="6"/>
        </w:numPr>
        <w:spacing w:after="120" w:before="0" w:line="288" w:lineRule="auto"/>
      </w:pPr>
      <w:r>
        <w:rPr>
          <w:rFonts w:ascii="Arial" w:cs="Arial" w:eastAsia="Arial" w:hAnsi="Arial"/>
          <w:color w:val="526B7E"/>
          <w:sz w:val="21"/>
          <w:szCs w:val="21"/>
        </w:rPr>
        <w:t xml:space="preserve">Open the results and read, don't just count. Note which checks already pass: Windows Server 2025 ships with defaults such as required signing on outbound SMB connections and LDAP sealing on new deployments, so part of the STIG is green before you touch anything.</w:t>
      </w:r>
    </w:p>
    <w:p>
      <w:pPr>
        <w:pStyle w:val="ListParagraph"/>
        <w:numPr>
          <w:ilvl w:val="0"/>
          <w:numId w:val="6"/>
        </w:numPr>
        <w:spacing w:after="120" w:before="0" w:line="288" w:lineRule="auto"/>
      </w:pPr>
      <w:r>
        <w:rPr>
          <w:rFonts w:ascii="Arial" w:cs="Arial" w:eastAsia="Arial" w:hAnsi="Arial"/>
          <w:color w:val="526B7E"/>
          <w:sz w:val="21"/>
          <w:szCs w:val="21"/>
        </w:rPr>
        <w:t xml:space="preserve">Separate the automated results from the manual checks. SCAP answers what a scanner can read; items marked for manual review go to STIG Viewer for a human answer in lesson 5.</w:t>
      </w:r>
    </w:p>
    <w:p>
      <w:pPr>
        <w:pStyle w:val="ListParagraph"/>
        <w:numPr>
          <w:ilvl w:val="0"/>
          <w:numId w:val="6"/>
        </w:numPr>
        <w:spacing w:after="120" w:before="0" w:line="288" w:lineRule="auto"/>
      </w:pPr>
      <w:r>
        <w:rPr>
          <w:rFonts w:ascii="Arial" w:cs="Arial" w:eastAsia="Arial" w:hAnsi="Arial"/>
          <w:color w:val="526B7E"/>
          <w:sz w:val="21"/>
          <w:szCs w:val="21"/>
        </w:rPr>
        <w:t xml:space="preserve">Store the raw result files unmodified, with recorded hashes. The baseline is evidence; a cleaned-up copy is a summary, not the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Adapt paths to your SCC installation and session directory.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-Recurse -Include *.xml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C:\Evidence\baseline\*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have a dated baseline result set, the already-compliant OS defaults are noted, and the raw files are hashed and stored.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per-host result files, their hashes, the benchmark and tool versions, and a short note of what the OS defaults already covered.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scan before applying any GPO?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baseline is measured, dated, and stored unmodified.  Secure-by-default items are recognized, not claimed as your work.  Manual checks are queued for human review.</w:t>
      </w:r>
    </w:p>
    <w:p>
      <w:pPr>
        <w:spacing w:after="60" w:before="0" w:line="288" w:lineRule="auto"/>
      </w:pPr>
      <w:hyperlink w:history="1" r:id="rIdd_0pylurqgrfzl9q6dyje">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jqvsv5snw9p-3ikwaksvz">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f3wepgenmxeifnsn2c7nt">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apply" w:id="6"/>
      <w:r>
        <w:rPr>
          <w:rFonts w:ascii="Arial" w:cs="Arial" w:eastAsia="Arial" w:hAnsi="Arial"/>
          <w:b/>
          <w:bCs/>
          <w:color w:val="193448"/>
          <w:sz w:val="40"/>
          <w:szCs w:val="40"/>
        </w:rPr>
        <w:t xml:space="preserve">Import and link the DISA GPOs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Group Policy is how the STIG becomes configuration. Import the package into the central store, link by organizational unit, and keep the lab's deliberate deviations written down rather than silently skipped.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Stage the package's templates in the Group Policy central store.</w:t>
      </w:r>
    </w:p>
    <w:p>
      <w:pPr>
        <w:pStyle w:val="ListParagraph"/>
        <w:numPr>
          <w:ilvl w:val="0"/>
          <w:numId w:val="3"/>
        </w:numPr>
        <w:spacing w:after="120" w:before="0" w:line="288" w:lineRule="auto"/>
      </w:pPr>
      <w:r>
        <w:rPr>
          <w:rFonts w:ascii="Arial" w:cs="Arial" w:eastAsia="Arial" w:hAnsi="Arial"/>
          <w:color w:val="526B7E"/>
          <w:sz w:val="21"/>
          <w:szCs w:val="21"/>
        </w:rPr>
        <w:t xml:space="preserve">Import DISA's policies and link them by organizational unit.</w:t>
      </w:r>
    </w:p>
    <w:p>
      <w:pPr>
        <w:pStyle w:val="ListParagraph"/>
        <w:numPr>
          <w:ilvl w:val="0"/>
          <w:numId w:val="3"/>
        </w:numPr>
        <w:spacing w:after="120" w:before="0" w:line="288" w:lineRule="auto"/>
      </w:pPr>
      <w:r>
        <w:rPr>
          <w:rFonts w:ascii="Arial" w:cs="Arial" w:eastAsia="Arial" w:hAnsi="Arial"/>
          <w:color w:val="526B7E"/>
          <w:sz w:val="21"/>
          <w:szCs w:val="21"/>
        </w:rPr>
        <w:t xml:space="preserve">Handle lab-specific deviations with documentation instead of silent edits.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Copy the package's ADMX and ADML templates into the domain's Group Policy central store (the PolicyDefinitions folder in SYSVOL) so every editor on any domain controller shows the same settings.</w:t>
      </w:r>
    </w:p>
    <w:p>
      <w:pPr>
        <w:pStyle w:val="ListParagraph"/>
        <w:numPr>
          <w:ilvl w:val="0"/>
          <w:numId w:val="7"/>
        </w:numPr>
        <w:spacing w:after="120" w:before="0" w:line="288" w:lineRule="auto"/>
      </w:pPr>
      <w:r>
        <w:rPr>
          <w:rFonts w:ascii="Arial" w:cs="Arial" w:eastAsia="Arial" w:hAnsi="Arial"/>
          <w:color w:val="526B7E"/>
          <w:sz w:val="21"/>
          <w:szCs w:val="21"/>
        </w:rPr>
        <w:t xml:space="preserve">Create empty GPOs named for the package's policies and import the package's settings into them with the GPMC Import Settings wizard or Import-GPO. Keep DISA's names with a local prefix so the source release stays identifiable.</w:t>
      </w:r>
    </w:p>
    <w:p>
      <w:pPr>
        <w:pStyle w:val="ListParagraph"/>
        <w:numPr>
          <w:ilvl w:val="0"/>
          <w:numId w:val="7"/>
        </w:numPr>
        <w:spacing w:after="120" w:before="0" w:line="288" w:lineRule="auto"/>
      </w:pPr>
      <w:r>
        <w:rPr>
          <w:rFonts w:ascii="Arial" w:cs="Arial" w:eastAsia="Arial" w:hAnsi="Arial"/>
          <w:color w:val="526B7E"/>
          <w:sz w:val="21"/>
          <w:szCs w:val="21"/>
        </w:rPr>
        <w:t xml:space="preserve">Link the domain-controller policies to the Domain Controllers OU and the member-server policies to the Servers OU for future systems. Review link order and inheritance; do not use Enforced as a shortcut around understanding precedence.</w:t>
      </w:r>
    </w:p>
    <w:p>
      <w:pPr>
        <w:pStyle w:val="ListParagraph"/>
        <w:numPr>
          <w:ilvl w:val="0"/>
          <w:numId w:val="7"/>
        </w:numPr>
        <w:spacing w:after="120" w:before="0" w:line="288" w:lineRule="auto"/>
      </w:pPr>
      <w:r>
        <w:rPr>
          <w:rFonts w:ascii="Arial" w:cs="Arial" w:eastAsia="Arial" w:hAnsi="Arial"/>
          <w:color w:val="526B7E"/>
          <w:sz w:val="21"/>
          <w:szCs w:val="21"/>
        </w:rPr>
        <w:t xml:space="preserve">Walk the settings that need a decision in this network — anything referencing infrastructure the lab does not have. Record each deviation with its rationale instead of deleting the setting, then update policy and confirm application.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\\sbd.test\SYSVOL\sbd.test\Policies\PolicyDefinitions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 -All | Select-Object DisplayName, GpoStatus, ModificationTime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central store serves the package's templates, the imported GPOs are linked to the intended OUs, gpresult shows them applying, and every deviation has a written reason.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import record: package release, GPO names and links, inheritance output, and the deviation list with rationale and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OU work from lesson 1 matter here?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central store keeps policy definitions consistent across controllers.  Links follow the OU design; precedence is understood, not forced.  Deviations are documented decisions, not deletions.</w:t>
      </w:r>
    </w:p>
    <w:p>
      <w:pPr>
        <w:spacing w:after="60" w:before="0" w:line="288" w:lineRule="auto"/>
      </w:pPr>
      <w:hyperlink w:history="1" r:id="rIdtps0vtqgog-nxecd3ty1h">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8xq5zpz-tljo9vexdgg1h">
        <w:r>
          <w:rPr>
            <w:rFonts w:ascii="Arial" w:cs="Arial" w:eastAsia="Arial" w:hAnsi="Arial"/>
            <w:color w:val="20647C"/>
            <w:sz w:val="18"/>
            <w:szCs w:val="18"/>
            <w:u w:val="single"/>
          </w:rPr>
          <w:t xml:space="preserve">Microsoft · Import-GPO</w:t>
        </w:r>
      </w:hyperlink>
    </w:p>
    <w:p>
      <w:pPr>
        <w:spacing w:after="60" w:before="0" w:line="288" w:lineRule="auto"/>
      </w:pPr>
      <w:hyperlink w:history="1" r:id="rIdtxho9ozavfw8rhdphwfnu">
        <w:r>
          <w:rPr>
            <w:rFonts w:ascii="Arial" w:cs="Arial" w:eastAsia="Arial" w:hAnsi="Arial"/>
            <w:color w:val="20647C"/>
            <w:sz w:val="18"/>
            <w:szCs w:val="18"/>
            <w:u w:val="single"/>
          </w:rPr>
          <w:t xml:space="preserve">Microsoft · Gpresult</w:t>
        </w:r>
      </w:hyperlink>
    </w:p>
    <w:p>
      <w:pPr>
        <w:spacing w:after="60" w:before="0" w:line="288" w:lineRule="auto"/>
      </w:pPr>
      <w:hyperlink w:history="1" r:id="rIdh7lzq7vuqk_vpvws4rdw2">
        <w:r>
          <w:rPr>
            <w:rFonts w:ascii="Arial" w:cs="Arial" w:eastAsia="Arial" w:hAnsi="Arial"/>
            <w:color w:val="20647C"/>
            <w:sz w:val="18"/>
            <w:szCs w:val="18"/>
            <w:u w:val="single"/>
          </w:rPr>
          <w:t xml:space="preserve">DISA · STIG Group Policy Objects package</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scan" w:id="7"/>
      <w:r>
        <w:rPr>
          <w:rFonts w:ascii="Arial" w:cs="Arial" w:eastAsia="Arial" w:hAnsi="Arial"/>
          <w:b/>
          <w:bCs/>
          <w:color w:val="193448"/>
          <w:sz w:val="40"/>
          <w:szCs w:val="40"/>
        </w:rPr>
        <w:t xml:space="preserve">Rescan, reconcile, and record</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second scan is the verdict. Compare it with the baseline, let the automated results fill the checklists, and give every remaining open item a human answer.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Re-scan with matched benchmark and tool versions and compare against the baseline.</w:t>
      </w:r>
    </w:p>
    <w:p>
      <w:pPr>
        <w:pStyle w:val="ListParagraph"/>
        <w:numPr>
          <w:ilvl w:val="0"/>
          <w:numId w:val="3"/>
        </w:numPr>
        <w:spacing w:after="120" w:before="0" w:line="288" w:lineRule="auto"/>
      </w:pPr>
      <w:r>
        <w:rPr>
          <w:rFonts w:ascii="Arial" w:cs="Arial" w:eastAsia="Arial" w:hAnsi="Arial"/>
          <w:color w:val="526B7E"/>
          <w:sz w:val="21"/>
          <w:szCs w:val="21"/>
        </w:rPr>
        <w:t xml:space="preserve">Populate checklists from scan results and answer manual checks with evidence.</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remaining open item explicitly.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Rerun SCC on both controllers with the same benchmark and tool versions as the baseline. Changing versions between scans makes the comparison meaningless.</w:t>
      </w:r>
    </w:p>
    <w:p>
      <w:pPr>
        <w:pStyle w:val="ListParagraph"/>
        <w:numPr>
          <w:ilvl w:val="0"/>
          <w:numId w:val="8"/>
        </w:numPr>
        <w:spacing w:after="120" w:before="0" w:line="288" w:lineRule="auto"/>
      </w:pPr>
      <w:r>
        <w:rPr>
          <w:rFonts w:ascii="Arial" w:cs="Arial" w:eastAsia="Arial" w:hAnsi="Arial"/>
          <w:color w:val="526B7E"/>
          <w:sz w:val="21"/>
          <w:szCs w:val="21"/>
        </w:rPr>
        <w:t xml:space="preserve">Compare the two result sets per host: which checks moved from open to compliant, which stayed open, and whether anything regressed. Attribute each change to the policy that caused it.</w:t>
      </w:r>
    </w:p>
    <w:p>
      <w:pPr>
        <w:pStyle w:val="ListParagraph"/>
        <w:numPr>
          <w:ilvl w:val="0"/>
          <w:numId w:val="8"/>
        </w:numPr>
        <w:spacing w:after="120" w:before="0" w:line="288" w:lineRule="auto"/>
      </w:pPr>
      <w:r>
        <w:rPr>
          <w:rFonts w:ascii="Arial" w:cs="Arial" w:eastAsia="Arial" w:hAnsi="Arial"/>
          <w:color w:val="526B7E"/>
          <w:sz w:val="21"/>
          <w:szCs w:val="21"/>
        </w:rPr>
        <w:t xml:space="preserve">Create the course checklists in STIG Viewer and bring in the scan results so automated passes are populated. Work the manual-review items one by one, recording the observed evidence for each answer.</w:t>
      </w:r>
    </w:p>
    <w:p>
      <w:pPr>
        <w:pStyle w:val="ListParagraph"/>
        <w:numPr>
          <w:ilvl w:val="0"/>
          <w:numId w:val="8"/>
        </w:numPr>
        <w:spacing w:after="120" w:before="0" w:line="288" w:lineRule="auto"/>
      </w:pPr>
      <w:r>
        <w:rPr>
          <w:rFonts w:ascii="Arial" w:cs="Arial" w:eastAsia="Arial" w:hAnsi="Arial"/>
          <w:color w:val="526B7E"/>
          <w:sz w:val="21"/>
          <w:szCs w:val="21"/>
        </w:rPr>
        <w:t xml:space="preserve">Classify what remains open: a finding to fix now, a documented deviation from lesson 4, or a candidate for a Plan of Action and Milestones (POA&amp;M) — the artifact the Body of Evidence course teaches you to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Compare result sets; adapt paths to your evidence layout.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C:\Evidence\hardened -Recurse -Include *.xml | Select-Object Directory,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C:\Evidence\hardened\*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/h C:\Evidence\hardened\SBD-DC01-gpresult.html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hosts show the expected movement from the baseline, every change is attributable, and every open item is a finding, a deviation, or a POA&amp;M candidate — never unexplained.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before/after comparison, the populated checklist files, manual-check answers with their observed evidence, and the classification of remaining opens.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keep the same benchmark and SCC versions for the rescan?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Same versions, honest comparison.  Automated results fill the checklist; humans answer the rest.  Open items end the lesson classified, never mysterious.</w:t>
      </w:r>
    </w:p>
    <w:p>
      <w:pPr>
        <w:spacing w:after="60" w:before="0" w:line="288" w:lineRule="auto"/>
      </w:pPr>
      <w:hyperlink w:history="1" r:id="rIdhgkhd3yaebgdcrzzdpfzo">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5ulqzvpjnyoa85xhg8cb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maintain" w:id="8"/>
      <w:r>
        <w:rPr>
          <w:rFonts w:ascii="Arial" w:cs="Arial" w:eastAsia="Arial" w:hAnsi="Arial"/>
          <w:b/>
          <w:bCs/>
          <w:color w:val="193448"/>
          <w:sz w:val="40"/>
          <w:szCs w:val="40"/>
        </w:rPr>
        <w:t xml:space="preserve">Set the rescan cadence and exception record</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Hardening is a state you maintain, not a step you finish. Close the course by deciding who rescans, when, and which event forces an early look.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Consolidate deviations into an owned, dated exception record.</w:t>
      </w:r>
    </w:p>
    <w:p>
      <w:pPr>
        <w:pStyle w:val="ListParagraph"/>
        <w:numPr>
          <w:ilvl w:val="0"/>
          <w:numId w:val="3"/>
        </w:numPr>
        <w:spacing w:after="120" w:before="0" w:line="288" w:lineRule="auto"/>
      </w:pPr>
      <w:r>
        <w:rPr>
          <w:rFonts w:ascii="Arial" w:cs="Arial" w:eastAsia="Arial" w:hAnsi="Arial"/>
          <w:color w:val="526B7E"/>
          <w:sz w:val="21"/>
          <w:szCs w:val="21"/>
        </w:rPr>
        <w:t xml:space="preserve">Define the quarterly and event-driven rescan cadence.</w:t>
      </w:r>
    </w:p>
    <w:p>
      <w:pPr>
        <w:pStyle w:val="ListParagraph"/>
        <w:numPr>
          <w:ilvl w:val="0"/>
          <w:numId w:val="3"/>
        </w:numPr>
        <w:spacing w:after="120" w:before="0" w:line="288" w:lineRule="auto"/>
      </w:pPr>
      <w:r>
        <w:rPr>
          <w:rFonts w:ascii="Arial" w:cs="Arial" w:eastAsia="Arial" w:hAnsi="Arial"/>
          <w:color w:val="526B7E"/>
          <w:sz w:val="21"/>
          <w:szCs w:val="21"/>
        </w:rPr>
        <w:t xml:space="preserve">Export and back up the applied policy state as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Consolidate the deviation records into one exception list: setting, reason, risk note, owner, and review date. This list travels into the authorization path as part of the Body of Evidence.</w:t>
      </w:r>
    </w:p>
    <w:p>
      <w:pPr>
        <w:pStyle w:val="ListParagraph"/>
        <w:numPr>
          <w:ilvl w:val="0"/>
          <w:numId w:val="9"/>
        </w:numPr>
        <w:spacing w:after="120" w:before="0" w:line="288" w:lineRule="auto"/>
      </w:pPr>
      <w:r>
        <w:rPr>
          <w:rFonts w:ascii="Arial" w:cs="Arial" w:eastAsia="Arial" w:hAnsi="Arial"/>
          <w:color w:val="526B7E"/>
          <w:sz w:val="21"/>
          <w:szCs w:val="21"/>
        </w:rPr>
        <w:t xml:space="preserve">Set the standing cadence: review each quarterly DISA release for applicable updates, and rescan after any role addition or significant configuration change. Course 1.5's closing delta scan is the first scheduled instance, and course 1.6 scans the PKI servers the same way.</w:t>
      </w:r>
    </w:p>
    <w:p>
      <w:pPr>
        <w:pStyle w:val="ListParagraph"/>
        <w:numPr>
          <w:ilvl w:val="0"/>
          <w:numId w:val="9"/>
        </w:numPr>
        <w:spacing w:after="120" w:before="0" w:line="288" w:lineRule="auto"/>
      </w:pPr>
      <w:r>
        <w:rPr>
          <w:rFonts w:ascii="Arial" w:cs="Arial" w:eastAsia="Arial" w:hAnsi="Arial"/>
          <w:color w:val="526B7E"/>
          <w:sz w:val="21"/>
          <w:szCs w:val="21"/>
        </w:rPr>
        <w:t xml:space="preserve">Export the Group Policy reports and back up the GPO set so the applied policy state is recoverable and reviewable without a live console.</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note a future administrator or assessor would need: where the evidence lives, which versions produced it, and what is intentionally open.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-All -ReportType Html -Path C:\Evidence\gpo-report.html</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Backup-GPO -All -Path C:\Evidence\gpo-backup</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C:\Evidence\gpo-report.html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exception list has owners and review dates, the GPO set is exported and backed up, and the rescan triggers are written where the next course will meet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hardening checklist: exception list, GPO backup location, report hashes, the cadence, and the named owner of the next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triggers a rescan before the next quarterly cycle?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Exceptions have owners and review dates.  Rescans follow the DISA quarter and every meaningful change.  The applied GPO state is exported, backed up, and hashed.</w:t>
      </w:r>
    </w:p>
    <w:p>
      <w:pPr>
        <w:spacing w:after="60" w:before="0" w:line="288" w:lineRule="auto"/>
      </w:pPr>
      <w:hyperlink w:history="1" r:id="rIdfby_39oalxlouvz8knlv5">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kn8bofwo0hipi86c2iro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and build the OU structure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Stage the tooling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Capture the pre-hardening baseline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Import and link the DISA GPOs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Rescan, reconcile, and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Set the rescan cadence and exception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hardening the baseline. Course 1.4 builds the two-tier PKI on this hardened base, and course 1.5 runs this cadence's first delta scan.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q3ssmycbjo8oazf-lr51" Type="http://schemas.openxmlformats.org/officeDocument/2006/relationships/hyperlink" Target="https://learn.microsoft.com/en-us/powershell/module/activedirectory/new-adorganizationalunit" TargetMode="External"/><Relationship Id="rIdclxzj5rzjjtiwgxchjbju" Type="http://schemas.openxmlformats.org/officeDocument/2006/relationships/hyperlink" Target="https://learn.microsoft.com/en-us/troubleshoot/windows-server/active-directory/redirect-users-computers-containers" TargetMode="External"/><Relationship Id="rIdrhybrfxruzw38c_4otqqt" Type="http://schemas.openxmlformats.org/officeDocument/2006/relationships/hyperlink" Target="https://www.cyber.mil/stigs/gpo" TargetMode="External"/><Relationship Id="rIdfeid_q9qzykx0ihciwcry" Type="http://schemas.openxmlformats.org/officeDocument/2006/relationships/hyperlink" Target="https://www.cyber.mil/stigs/srg-stig-tools" TargetMode="External"/><Relationship Id="rIdd_0pylurqgrfzl9q6dyje" Type="http://schemas.openxmlformats.org/officeDocument/2006/relationships/hyperlink" Target="https://learn.microsoft.com/en-us/windows-server/get-started/whats-new-windows-server-2025" TargetMode="External"/><Relationship Id="rIdjqvsv5snw9p-3ikwaksvz" Type="http://schemas.openxmlformats.org/officeDocument/2006/relationships/hyperlink" Target="https://www.cyber.mil/stigs/srg-stig-tools" TargetMode="External"/><Relationship Id="rIdf3wepgenmxeifnsn2c7nt" Type="http://schemas.openxmlformats.org/officeDocument/2006/relationships/hyperlink" Target="https://csrc.nist.gov/projects/national-checklist-program" TargetMode="External"/><Relationship Id="rIdtps0vtqgog-nxecd3ty1h" Type="http://schemas.openxmlformats.org/officeDocument/2006/relationships/hyperlink" Target="https://learn.microsoft.com/en-us/troubleshoot/windows-client/group-policy/create-and-manage-central-store" TargetMode="External"/><Relationship Id="rId8xq5zpz-tljo9vexdgg1h" Type="http://schemas.openxmlformats.org/officeDocument/2006/relationships/hyperlink" Target="https://learn.microsoft.com/en-us/powershell/module/grouppolicy/import-gpo" TargetMode="External"/><Relationship Id="rIdtxho9ozavfw8rhdphwfnu" Type="http://schemas.openxmlformats.org/officeDocument/2006/relationships/hyperlink" Target="https://learn.microsoft.com/en-us/windows-server/administration/windows-commands/gpresult" TargetMode="External"/><Relationship Id="rIdh7lzq7vuqk_vpvws4rdw2" Type="http://schemas.openxmlformats.org/officeDocument/2006/relationships/hyperlink" Target="https://www.cyber.mil/stigs/gpo" TargetMode="External"/><Relationship Id="rIdhgkhd3yaebgdcrzzdpfzo" Type="http://schemas.openxmlformats.org/officeDocument/2006/relationships/hyperlink" Target="https://www.cyber.mil/stigs/srg-stig-tools" TargetMode="External"/><Relationship Id="rId5ulqzvpjnyoa85xhg8cbp" Type="http://schemas.openxmlformats.org/officeDocument/2006/relationships/hyperlink" Target="https://csrc.nist.gov/projects/national-checklist-program" TargetMode="External"/><Relationship Id="rIdfby_39oalxlouvz8knlv5" Type="http://schemas.openxmlformats.org/officeDocument/2006/relationships/hyperlink" Target="https://www.cyber.mil/stigs/gpo" TargetMode="External"/><Relationship Id="rIdkn8bofwo0hipi86c2irop" Type="http://schemas.openxmlformats.org/officeDocument/2006/relationships/hyperlink" Target="https://csrc.nist.gov/projects/national-checklist-program" TargetMode="External"/><Relationship Id="rId8" Type="http://schemas.openxmlformats.org/officeDocument/2006/relationships/image" Target="media/315b4b2a7fe096c36787d89a85055bb8aacc1994.png"/><Relationship Id="rId2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Harden the baseline — companion workbook</dc:title>
  <dc:creator>Secure By Design</dc:creator>
  <cp:lastModifiedBy>Secure By Design</cp:lastModifiedBy>
  <cp:revision>1</cp:revision>
  <dcterms:created xsi:type="dcterms:W3CDTF">2026-10-08T12:00:00Z</dcterms:created>
  <dcterms:modified xsi:type="dcterms:W3CDTF">2026-10-08T12:00:00Z</dcterms:modified>
  <dc:subject>OU design, DISA GPOs &amp; STIG/SCAP verification</dc:subject>
  <cp:keywords>Secure By Design, companion workbook, Course 1.3, Windows Server 2025, DISA STIG, Group Policy, SCAP, Organizational units</cp:keywords>
</cp:coreProperties>
</file>

<file path=docProps/custom.xml><?xml version="1.0" encoding="utf-8"?>
<Properties xmlns="http://schemas.openxmlformats.org/officeDocument/2006/custom-properties" xmlns:vt="http://schemas.openxmlformats.org/officeDocument/2006/docPropsVTypes"/>
</file>