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drawing>
          <wp:inline distT="0" distB="0" distL="0" distR="0">
            <wp:extent cx="49530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88" w:lineRule="auto"/>
      </w:pPr>
      <w:r>
        <w:rPr>
          <w:rFonts w:ascii="Arial" w:cs="Arial" w:eastAsia="Arial" w:hAnsi="Arial"/>
          <w:b/>
          <w:bCs/>
          <w:color w:val="193448"/>
          <w:sz w:val="30"/>
          <w:szCs w:val="30"/>
        </w:rPr>
        <w:t xml:space="preserve">Secure By Design</w:t>
      </w:r>
    </w:p>
    <w:p>
      <w:pPr>
        <w:spacing w:after="900" w:before="0" w:line="288" w:lineRule="auto"/>
      </w:pPr>
      <w:r>
        <w:rPr>
          <w:rFonts w:ascii="Arial" w:cs="Arial" w:eastAsia="Arial" w:hAnsi="Arial"/>
          <w:color w:val="526B7E"/>
          <w:sz w:val="13"/>
          <w:szCs w:val="13"/>
        </w:rPr>
        <w:t xml:space="preserve">EDUCATE. EMPOWER. SECURE THE FUTURE.</w:t>
      </w:r>
    </w:p>
    <w:p>
      <w:pPr>
        <w:spacing w:after="20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   /    COMPANION WORKBOOK</w:t>
      </w:r>
    </w:p>
    <w:p>
      <w:pPr>
        <w:spacing w:after="160" w:before="80"/>
      </w:pPr>
      <w:r>
        <w:rPr>
          <w:rFonts w:ascii="Arial" w:cs="Arial" w:eastAsia="Arial" w:hAnsi="Arial"/>
          <w:b/>
          <w:bCs/>
          <w:color w:val="193448"/>
          <w:sz w:val="60"/>
          <w:szCs w:val="60"/>
        </w:rPr>
        <w:t xml:space="preserve">See everything: the logging pipeline</w:t>
      </w:r>
    </w:p>
    <w:p>
      <w:pPr>
        <w:spacing w:after="360" w:before="0" w:line="288" w:lineRule="auto"/>
      </w:pPr>
      <w:r>
        <w:rPr>
          <w:rFonts w:ascii="Arial" w:cs="Arial" w:eastAsia="Arial" w:hAnsi="Arial"/>
          <w:b/>
          <w:bCs/>
          <w:color w:val="20647C"/>
          <w:sz w:val="30"/>
          <w:szCs w:val="30"/>
        </w:rPr>
        <w:t xml:space="preserve">Collect, protect &amp; analyze before the fleet arrives</w:t>
      </w:r>
    </w:p>
    <w:p>
      <w:pPr>
        <w:spacing w:after="60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the model's collect → protect → analyze chain: Windows Event Forwarding and router syslog into SBD-SYSLOG01, hashed archives under a no-delete rule on SBD-AUDIT01, and working searches with one owned alert on SBD-SPLUNK01 — proven by a single event traced end to end.</w:t>
      </w:r>
    </w:p>
    <w:p>
      <w:pPr>
        <w:spacing w:after="80" w:before="0" w:line="288" w:lineRule="auto"/>
      </w:pPr>
      <w:r>
        <w:rPr>
          <w:rFonts w:ascii="Arial" w:cs="Arial" w:eastAsia="Arial" w:hAnsi="Arial"/>
          <w:color w:val="20647C"/>
          <w:sz w:val="16"/>
          <w:szCs w:val="16"/>
        </w:rPr>
        <w:t xml:space="preserve">MATERIALS EDITION 1.0    /    COURSE 1.8</w:t>
      </w:r>
    </w:p>
    <w:p>
      <w:pPr>
        <w:spacing w:after="80" w:before="0" w:line="288" w:lineRule="auto"/>
      </w:pPr>
      <w:r>
        <w:rPr>
          <w:rFonts w:ascii="Arial" w:cs="Arial" w:eastAsia="Arial" w:hAnsi="Arial"/>
          <w:color w:val="526B7E"/>
          <w:sz w:val="16"/>
          <w:szCs w:val="16"/>
        </w:rPr>
        <w:t xml:space="preserve">Updated 7 October 2026  ·  sbd-logging-pipeline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16"/>
          <w:szCs w:val="16"/>
        </w:rPr>
        <w:t xml:space="preserve">NAME  ______________________    /    DATE  ______________</w:t>
      </w:r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START HERE / YOUR LEARNING PATH</w:t>
      </w:r>
    </w:p>
    <w:p>
      <w:pPr>
        <w:pStyle w:val="Heading1"/>
        <w:spacing w:after="120"/>
      </w:pPr>
      <w:bookmarkStart w:name="toc-logging-pipeline" w:id="1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Table of contents</w:t>
      </w:r>
      <w:bookmarkEnd w:id="1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Read each lesson alongside the interactive guide and the video. Use the record tables to write down what you actually observe — the workbook is your evidence, not the guide.</w:t>
      </w:r>
    </w:p>
    <w:p>
      <w:pPr>
        <w:spacing w:after="90" w:before="0" w:line="288" w:lineRule="auto"/>
      </w:pPr>
      <w:hyperlink w:history="1" w:anchor="befor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Before you start</w:t>
        </w:r>
      </w:hyperlink>
    </w:p>
    <w:p>
      <w:pPr>
        <w:spacing w:after="90" w:before="0" w:line="288" w:lineRule="auto"/>
      </w:pPr>
      <w:hyperlink w:history="1" w:anchor="lesson-design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01  Design collect, protect, analyze</w:t>
        </w:r>
      </w:hyperlink>
    </w:p>
    <w:p>
      <w:pPr>
        <w:spacing w:after="90" w:before="0" w:line="288" w:lineRule="auto"/>
      </w:pPr>
      <w:hyperlink w:history="1" w:anchor="lesson-auditing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02  Turn on the right auditing</w:t>
        </w:r>
      </w:hyperlink>
    </w:p>
    <w:p>
      <w:pPr>
        <w:spacing w:after="90" w:before="0" w:line="288" w:lineRule="auto"/>
      </w:pPr>
      <w:hyperlink w:history="1" w:anchor="lesson-collector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03  Build the collector</w:t>
        </w:r>
      </w:hyperlink>
    </w:p>
    <w:p>
      <w:pPr>
        <w:spacing w:after="90" w:before="0" w:line="288" w:lineRule="auto"/>
      </w:pPr>
      <w:hyperlink w:history="1" w:anchor="lesson-protect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04  Protect the record on SBD-AUDIT01</w:t>
        </w:r>
      </w:hyperlink>
    </w:p>
    <w:p>
      <w:pPr>
        <w:spacing w:after="90" w:before="0" w:line="288" w:lineRule="auto"/>
      </w:pPr>
      <w:hyperlink w:history="1" w:anchor="lesson-analyz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05  Analyze in SBD-SPLUNK01</w:t>
        </w:r>
      </w:hyperlink>
    </w:p>
    <w:p>
      <w:pPr>
        <w:spacing w:after="90" w:before="0" w:line="288" w:lineRule="auto"/>
      </w:pPr>
      <w:hyperlink w:history="1" w:anchor="lesson-prove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06  Prove the chain and delta scan</w:t>
        </w:r>
      </w:hyperlink>
    </w:p>
    <w:p>
      <w:pPr>
        <w:spacing w:after="90" w:before="0" w:line="288" w:lineRule="auto"/>
      </w:pPr>
      <w:hyperlink w:history="1" w:anchor="review">
        <w:r>
          <w:rPr>
            <w:rFonts w:ascii="Arial" w:cs="Arial" w:eastAsia="Arial" w:hAnsi="Arial"/>
            <w:color w:val="20647C"/>
            <w:sz w:val="21"/>
            <w:szCs w:val="21"/>
          </w:rPr>
          <w:t xml:space="preserve">Course review and sign-off</w:t>
        </w:r>
      </w:hyperlink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HOW TO USE IT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Each lesson page has the same shape: what you will learn, the build steps, the commands that verify them, and a record table. Fill the table from your own environment — never from the sample values.</w:t>
      </w:r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/ PREREQUISITES</w:t>
      </w:r>
    </w:p>
    <w:p>
      <w:pPr>
        <w:pStyle w:val="Heading1"/>
        <w:spacing w:after="120"/>
      </w:pPr>
      <w:bookmarkStart w:name="before" w:id="2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Before you start</w:t>
      </w:r>
      <w:bookmarkEnd w:id="2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This course builds the model's collect → protect → analyze chain before the fleet arrives, so every later system is observed from its first boot. Collection is configuration you can show; protection is permissions and retention you can defend; analysis is a search someone actually runs.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Complete course 1.7: the admin plane exists, and this course's systems are managed only from VLAN 60.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Provision SBD-SYSLOG01 (10.0.20.20) as Windows Server 2025, and SBD-AUDIT01 (10.0.50.40) and SBD-SPLUNK01 (10.0.50.10) per your platform plan for the repository and analysis roles.</w:t>
      </w:r>
    </w:p>
    <w:p>
      <w:pPr>
        <w:pStyle w:val="ListParagraph"/>
        <w:numPr>
          <w:ilvl w:val="0"/>
          <w:numId w:val="2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Have the course 1.5 register ready for the new rows: event forwarding to the collector, syslog from the core router, and the forwarder path into the analysis system.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What this course builds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Forward the DC, admin-plane, and router-deny records into one collector by subscription.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Protect the archive with hash catalogs, named readers, and delete-by-process-only.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Prove the chain by tracing one event from source to analyst, with an owned alert.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Systems in scope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SBD-SYSLOG01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SBD-AUDIT01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SBD-SPLUNK01 — name, address, OS build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01  /  ABOUT 20 MIN</w:t>
      </w:r>
    </w:p>
    <w:p>
      <w:pPr>
        <w:pStyle w:val="Heading1"/>
        <w:spacing w:after="120"/>
      </w:pPr>
      <w:bookmarkStart w:name="lesson-design" w:id="3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Design collect, protect, analyze</w:t>
      </w:r>
      <w:bookmarkEnd w:id="3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Three systems, three distinct jobs: SBD-SYSLOG01 gathers, SBD-AUDIT01 preserves, SBD-SPLUNK01 answers questions. Decide what is collected first, how long it lives, and who may touch which stage — before a single event flows.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Assign the three roles and the first collection scope.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Decide retention, protection, and access per stage.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Register the pipeline's network paths.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Write the role sentence for each host: the collector receives Windows events and the core router's syslog; the repository holds the protected, long-retention copy; the analysis system indexes a working copy for search and alerting. One copy to keep, one copy to question.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Scope the first collection to what already produces evidence: both DCs' Security logs, the core router's deny log from course 1.5, and the admin hosts' sign-in events — the fleet joins this scope in the next course, not now.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Decide the AU-family answers and write them down: retention length per stage, who may read each stage, and that nobody — including administrators — writes or deletes in the repository outside the archival process (that is the AU-9 protection story).</w:t>
      </w:r>
    </w:p>
    <w:p>
      <w:pPr>
        <w:pStyle w:val="ListParagraph"/>
        <w:numPr>
          <w:ilvl w:val="0"/>
          <w:numId w:val="4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Add the register rows: DC and admin-host event forwarding to the collector (WinRM 5985), router syslog UDP 514 to the collector, and the forwarder path from collector to the analysis system; all three systems are managed only from VLAN 60 per course 1.7's handoff.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# Capture the before state: what the DCs currently audit and where nothing is forwarded yet.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auditpol /get /category:* | Select-String 'Logon|Account Management|Directory Service|Policy Change'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Get-Service Wecsvc -ComputerName SBD-SYSLOG01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design names each stage's job, scope, retention, and readers; the repository's no-delete rule is written; and the register carries the three pipeline paths with owners.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pipeline design sheet, the retention and access table, and the new register rows.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separate the repository from the analysis system?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Collector gathers, repository preserves, analysis answers.  Scope starts with the DCs, the router denies, and the admin plane.  Retention, readers, and the no-delete rule are written; paths are registered.</w:t>
      </w:r>
    </w:p>
    <w:p>
      <w:pPr>
        <w:spacing w:after="60" w:before="0" w:line="288" w:lineRule="auto"/>
      </w:pPr>
      <w:hyperlink w:history="1" r:id="rIdz76urxo5toa4keifqr_-c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btmkq82ya97l6g0cxsump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02  /  ABOUT 25 MIN</w:t>
      </w:r>
    </w:p>
    <w:p>
      <w:pPr>
        <w:pStyle w:val="Heading1"/>
        <w:spacing w:after="120"/>
      </w:pPr>
      <w:bookmarkStart w:name="lesson-auditing" w:id="4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Turn on the right auditing</w:t>
      </w:r>
      <w:bookmarkEnd w:id="4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Forwarding garbage faster is not monitoring. Set the advanced audit policy so the events that tell the network's story — sign-ins, account changes, directory changes, policy changes — actually get written.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Apply the advanced audit policy categories the design needs.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Reconcile audit settings with the course 1.3 STIG values.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Verify effective auditing on the DCs and admin hosts.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Review what the DISA GPOs from course 1.3 already audit — much of the advanced audit policy arrived with the STIGs. This lesson reconciles and fills gaps rather than starting over.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Confirm the categories the design depends on are at least at the STIG values on the DCs: Logon/Logoff, Account Management, Directory Service Changes, and Policy Change — success and failure where the design says so.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Extend the same policy to the admin hosts' OU so privileged sessions write the sign-in trail lesson 5 of course 1.7 started capturing by hand.</w:t>
      </w:r>
    </w:p>
    <w:p>
      <w:pPr>
        <w:pStyle w:val="ListParagraph"/>
        <w:numPr>
          <w:ilvl w:val="0"/>
          <w:numId w:val="5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Any place this course wants more auditing than the STIG sets, make it a documented addition in the GPO structure — never a local, invisible tweak — and note it in the exception/addition record.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auditpol /get /subcategory:'Logon','User Account Management','Directory Service Changes','Audit Policy Change'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gpresult /r /scope:computer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Effective audit policy on the DCs and admin hosts covers the designed categories at or above the STIG values, applied through GPO, with any additions documented.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auditpol output per host class, the GPO report, and the documented additions.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start from the course 1.3 GPOs instead of a fresh audit policy?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Audit policy is reconciled with the STIG baseline, not reinvented.  DCs and admin hosts write the designed event families.  Additions are GPO-visible and documented.</w:t>
      </w:r>
    </w:p>
    <w:p>
      <w:pPr>
        <w:spacing w:after="60" w:before="0" w:line="288" w:lineRule="auto"/>
      </w:pPr>
      <w:hyperlink w:history="1" r:id="rIdhqxmvtssv6qnc7yfqftsc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bbmt6vkx4-dqja7j4aaun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Auditpol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03  /  ABOUT 30 MIN</w:t>
      </w:r>
    </w:p>
    <w:p>
      <w:pPr>
        <w:pStyle w:val="Heading1"/>
        <w:spacing w:after="120"/>
      </w:pPr>
      <w:bookmarkStart w:name="lesson-collector" w:id="5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Build the collector</w:t>
      </w:r>
      <w:bookmarkEnd w:id="5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SBD-SYSLOG01 becomes the funnel: Windows Event Forwarding brings the DC and admin-host events in by subscription, and the core router's denies arrive as syslog — one host where the network's record first lands.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Configure the Windows Event Collector service and subscription.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Point the source hosts at the collector by GPO.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Receive the router's syslog deny stream.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On SBD-SYSLOG01, enable the Windows Event Collector service and create a source-initiated subscription for the designed event IDs from the DCs and admin hosts, delivered into the Forwarded Events log.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By GPO on the relevant OUs, set the subscription manager to the collector and grant the Network Service read access to the Security log — the sources push; the collector never reaches into them.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Add a syslog intake on the collector for UDP 514 and point the core router's deny logging at it, so course 1.5's boundary decisions land beside the Windows record.</w:t>
      </w:r>
    </w:p>
    <w:p>
      <w:pPr>
        <w:pStyle w:val="ListParagraph"/>
        <w:numPr>
          <w:ilvl w:val="0"/>
          <w:numId w:val="6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Confirm the register rows are the only paths in use: WinRM from the source OUs to the collector, syslog from the core, and nothing listening that the design didn't ask for.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wecutil es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wecutil gs SBD-ForwardedSecurity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-LogName ForwardedEvents -MaxEvents 5 | Select-Object TimeCreated, Id, MachineName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subscription is active, events from both DCs and the admin hosts appear in Forwarded Events with correct source machine names, and router deny entries arrive on the syslog intake.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Record the subscription configuration, the GPO that enrolls sources, the first forwarded events per source, and a received router deny entry.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source-initiated subscriptions rather than the collector pulling?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Sources push by subscription; the collector reaches into nothing.  DC, admin-host, and router records land in one place.  Only registered paths carry the pipeline.</w:t>
      </w:r>
    </w:p>
    <w:p>
      <w:pPr>
        <w:spacing w:after="60" w:before="0" w:line="288" w:lineRule="auto"/>
      </w:pPr>
      <w:hyperlink w:history="1" r:id="rIdvvwmsv4csd9cmjnio9hik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vqctzsk2owcomzwbe2nsn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04  /  ABOUT 25 MIN</w:t>
      </w:r>
    </w:p>
    <w:p>
      <w:pPr>
        <w:pStyle w:val="Heading1"/>
        <w:spacing w:after="120"/>
      </w:pPr>
      <w:bookmarkStart w:name="lesson-protect" w:id="6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Protect the record on SBD-AUDIT01</w:t>
      </w:r>
      <w:bookmarkEnd w:id="6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repository is where the record outlives mistakes and attackers alike: scheduled archives from the collector, hashed on arrival, readable by few, deletable by process only.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Archive the collector's logs to the repository on schedule.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Hash and catalog every archive on arrival.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Enforce the read-few, delete-by-process-only access model.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Create the archival job: on schedule, the collector exports its Forwarded Events and syslog intake to dated archive files and transfers them to SBD-AUDIT01's repository share — the only inbound write path the repository allows.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On arrival, hash each archive and append the hash to a catalog kept with the archives; an archive whose hash no longer matches is a finding, not a file.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Set the permissions to match lesson 1's decision: the archival process writes, a named auditors group reads, and no interactive account holds delete rights — retention-driven deletion runs as its own documented, logged process.</w:t>
      </w:r>
    </w:p>
    <w:p>
      <w:pPr>
        <w:pStyle w:val="ListParagraph"/>
        <w:numPr>
          <w:ilvl w:val="0"/>
          <w:numId w:val="7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Fill in the AU table with what now exists: where each stage's data lives, its retention clock, and who can touch it — this table is the artifact course 2.2 will file.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Get-ChildItem \\SBD-AUDIT01\LogArchive | Select-Object Name, Length, LastWriteTime -First 5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Get-FileHash -Algorithm SHA256 \\SBD-AUDIT01\LogArchive\*.evtx | Select-Object -First 3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icacls \\SBD-AUDIT01\LogArchive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Dated archives arrive on schedule with catalog hashes that verify, the permission listing matches the access model exactly, and the AU table reflects reality.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archival job definition, the hash catalog excerpt, the permissions output, and the completed AU table.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What does the hash catalog actually protect against?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Archives land on schedule and prove their own integrity.  Readers are named; deletion is a process, not a right.  The AU table is written for the authorization path.</w:t>
      </w:r>
    </w:p>
    <w:p>
      <w:pPr>
        <w:spacing w:after="60" w:before="0" w:line="288" w:lineRule="auto"/>
      </w:pPr>
      <w:hyperlink w:history="1" r:id="rIdtsqzzx284geef6w-kmjvb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pPr>
        <w:spacing w:after="60" w:before="0" w:line="288" w:lineRule="auto"/>
      </w:pPr>
      <w:hyperlink w:history="1" r:id="rIdmaslezc2lanoitscjwhnm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05  /  ABOUT 30 MIN</w:t>
      </w:r>
    </w:p>
    <w:p>
      <w:pPr>
        <w:pStyle w:val="Heading1"/>
        <w:spacing w:after="120"/>
      </w:pPr>
      <w:bookmarkStart w:name="lesson-analyze" w:id="7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Analyze in SBD-SPLUNK01</w:t>
      </w:r>
      <w:bookmarkEnd w:id="7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Analysis earns its place with three working searches and one alert: failed privileged sign-ins, the boundary's denies, and the health of time — questions this network can already answer about itself.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Index the collector's streams into the analysis system.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the first three searches against real events.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Create one alert with a named responder.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Install the analysis platform on SBD-SPLUNK01 and bring in the collector's two streams — the forwarded Windows events and the router syslog — over the registered forwarder path; the repository stays out of this flow by design.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search one: failed sign-ins (event 4625) involving the tier admin accounts, grouped by source host — the tiering course's denials now have a dashboard.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Build search two: router denies by source VLAN and destination port — course 1.5's boundary, now trending; and search three: time-service events and offsets, so clock drift surfaces before Kerberos complains.</w:t>
      </w:r>
    </w:p>
    <w:p>
      <w:pPr>
        <w:pStyle w:val="ListParagraph"/>
        <w:numPr>
          <w:ilvl w:val="0"/>
          <w:numId w:val="8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Turn the first search into an alert with a threshold, a named responder from the admin plane, and a written first-response step — an alert nobody owns is a log entry with extra steps. Console access to all of this: VLAN 60 only, per the handoff.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Test-NetConnection SBD-SPLUNK01.sbd.test -Port 9997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# In the analysis console, confirm the three saved searches return today's events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-FilterHashtable @{LogName='Security';Id=4625} -MaxEvents 3 | Select-Object TimeCreated, MachineName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Both streams index with correct timestamps, the three searches return real current events, and the alert fires in a test with its responder and first step documented.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Record the input configuration, each search with a result sample, and the alert definition with its responder.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Why does the repository stay out of the analysis flow?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Two streams indexed; the protected record untouched.  Three searches answer real questions from day one.  One alert, one responder, one written first step.</w:t>
      </w:r>
    </w:p>
    <w:p>
      <w:pPr>
        <w:spacing w:after="60" w:before="0" w:line="288" w:lineRule="auto"/>
      </w:pPr>
      <w:hyperlink w:history="1" r:id="rId2j9r53kjkwkyig2bo4zsd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Use Windows Event Forwarding to help with intrusion detection</w:t>
        </w:r>
      </w:hyperlink>
    </w:p>
    <w:p>
      <w:pPr>
        <w:spacing w:after="60" w:before="0" w:line="288" w:lineRule="auto"/>
      </w:pPr>
      <w:hyperlink w:history="1" r:id="rIdvuuuvtgh7n3bzg9y1kr9g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Splunk · product documentation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LESSON 06  /  ABOUT 20 MIN</w:t>
      </w:r>
    </w:p>
    <w:p>
      <w:pPr>
        <w:pStyle w:val="Heading1"/>
        <w:spacing w:after="120"/>
      </w:pPr>
      <w:bookmarkStart w:name="lesson-prove" w:id="8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Prove the chain and delta scan</w:t>
      </w:r>
      <w:bookmarkEnd w:id="8"/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WHY THIS MATTERS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One deliberate event, followed all the way: a failed privileged sign-in should appear on the source, the collector, the repository's next archive, and the analyst's screen — then the cadence scans close the course.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In this lesson you will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Trace a test event through all three stages.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Verify the router-deny stream the same way.</w:t>
      </w:r>
    </w:p>
    <w:p>
      <w:pPr>
        <w:pStyle w:val="ListParagraph"/>
        <w:numPr>
          <w:ilvl w:val="0"/>
          <w:numId w:val="3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Baseline the new hosts and file the course evidence.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Follow the build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Generate the test event: one failed sign-in with a (disabled-password) tier account on a DC. Find it in the DC's Security log, in Forwarded Events on the collector, flag it for the next archive's verification on the repository, and watch the alert fire in analysis.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Repeat with the boundary: probe one unregistered port, then find that deny in the syslog stream and in search two — course 1.5's evidence pair now assembles itself.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Run the cadence: first baselines for SBD-SYSLOG01, SBD-AUDIT01, and SBD-SPLUNK01 (Windows hosts with the standard benchmark; a non-Windows analysis host gets its config export + hash treatment like the router), plus a DC rescan for the audit-policy deltas.</w:t>
      </w:r>
    </w:p>
    <w:p>
      <w:pPr>
        <w:pStyle w:val="ListParagraph"/>
        <w:numPr>
          <w:ilvl w:val="0"/>
          <w:numId w:val="9"/>
        </w:num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File the end-to-end trace as this course's signature evidence and write the handoff: the fleet course inherits a pipeline that will see its first domain join happen.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Check your result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Get-WinEvent -LogName ForwardedEvents -MaxEvents 10 | Where-Object Id -eq 4625 | Select-Object TimeCreated, MachineName</w:t>
      </w:r>
    </w:p>
    <w:p>
      <w:pPr>
        <w:shd w:fill="F1F7FA" w:color="auto" w:val="clear"/>
        <w:spacing w:after="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Get-ChildItem C:\Evidence\logging-pipeline -Recurse | Select-Object Name, LastWriteTime</w:t>
      </w:r>
    </w:p>
    <w:p>
      <w:pPr>
        <w:shd w:fill="F1F7FA" w:color="auto" w:val="clear"/>
        <w:spacing w:after="160" w:before="0" w:line="252" w:lineRule="auto"/>
        <w:ind w:left="160" w:right="160"/>
      </w:pPr>
      <w:r>
        <w:rPr>
          <w:rFonts w:ascii="Consolas" w:cs="Consolas" w:eastAsia="Consolas" w:hAnsi="Consolas"/>
          <w:color w:val="193448"/>
          <w:sz w:val="18"/>
          <w:szCs w:val="18"/>
        </w:rPr>
        <w:t xml:space="preserve">Get-FileHash -Algorithm SHA256 C:\Evidence\logging-pipeline\*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WHAT SUCCESS LOOKS LIKE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The test event appears at every stage with consistent timestamps, the deny trace matches, the new hosts have baselines, and the DC rescan deltas are attributed to the audit policy.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Your record</w:t>
      </w:r>
    </w:p>
    <w:p>
      <w:pPr>
        <w:spacing w:after="16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Evidence to keep: Keep the four-stage trace of the test event, the deny trace, the scan set, and the handoff note to course 1.9.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RECORD</w:t>
            </w:r>
          </w:p>
        </w:tc>
        <w:tc>
          <w:tcPr>
            <w:tcW w:type="dxa" w:w="63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YOUR OBSERVATION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Host(s) and time collected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Observed result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Differences from the plan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Evidence file names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Open items or findings</w:t>
            </w:r>
          </w:p>
        </w:tc>
        <w:tc>
          <w:tcPr>
            <w:tcW w:type="dxa" w:w="63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Think it through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What does the single traced event prove that stage-by-stage checks don't?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REMEMBER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One event, four stages, consistent timestamps — the chain is real.  Boundary denies assemble their own evidence now.  Baselines, rescans, and the handoff close wave 4a.</w:t>
      </w:r>
    </w:p>
    <w:p>
      <w:pPr>
        <w:spacing w:after="60" w:before="0" w:line="288" w:lineRule="auto"/>
      </w:pPr>
      <w:hyperlink w:history="1" r:id="rIdfrx9uqr95evmq6gfowv_a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Microsoft · Wecutil (Windows Event Collector)</w:t>
        </w:r>
      </w:hyperlink>
    </w:p>
    <w:p>
      <w:pPr>
        <w:spacing w:after="60" w:before="0" w:line="288" w:lineRule="auto"/>
      </w:pPr>
      <w:hyperlink w:history="1" r:id="rId8hm0h-9i7ndplo07djdrr">
        <w:r>
          <w:rPr>
            <w:rFonts w:ascii="Arial" w:cs="Arial" w:eastAsia="Arial" w:hAnsi="Arial"/>
            <w:color w:val="20647C"/>
            <w:sz w:val="18"/>
            <w:szCs w:val="18"/>
            <w:u w:val="single"/>
          </w:rPr>
          <w:t xml:space="preserve">NIST · SP 800-53 Rev. 5 security controls (AU family)</w:t>
        </w:r>
      </w:hyperlink>
    </w:p>
    <w:p>
      <w:r>
        <w:br w:type="page"/>
      </w:r>
    </w:p>
    <w:p>
      <w:pPr>
        <w:spacing w:after="80" w:before="0" w:line="288" w:lineRule="auto"/>
      </w:pPr>
      <w:r>
        <w:rPr>
          <w:rFonts w:ascii="Arial" w:cs="Arial" w:eastAsia="Arial" w:hAnsi="Arial"/>
          <w:b/>
          <w:bCs/>
          <w:color w:val="20647C"/>
          <w:sz w:val="16"/>
          <w:szCs w:val="16"/>
        </w:rPr>
        <w:t xml:space="preserve">COURSE 1.8 / CLOSE OUT</w:t>
      </w:r>
    </w:p>
    <w:p>
      <w:pPr>
        <w:pStyle w:val="Heading1"/>
        <w:spacing w:after="120"/>
      </w:pPr>
      <w:bookmarkStart w:name="review" w:id="9"/>
      <w:r>
        <w:rPr>
          <w:rFonts w:ascii="Arial" w:cs="Arial" w:eastAsia="Arial" w:hAnsi="Arial"/>
          <w:b/>
          <w:bCs/>
          <w:color w:val="193448"/>
          <w:sz w:val="40"/>
          <w:szCs w:val="40"/>
        </w:rPr>
        <w:t xml:space="preserve">Course review and sign-off</w:t>
      </w:r>
      <w:bookmarkEnd w:id="9"/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Before moving on, confirm each lesson left evidence behind — and that what remains open is written down, not remembered.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Lesson completion</w:t>
      </w:r>
    </w:p>
    <w:tbl>
      <w:tblPr>
        <w:tblW w:type="dxa" w:w="9360"/>
        <w:tblBorders>
          <w:top w:val="single" w:color="C7D9E2" w:sz="4"/>
          <w:left w:val="single" w:color="C7D9E2" w:sz="4"/>
          <w:bottom w:val="single" w:color="C7D9E2" w:sz="4"/>
          <w:right w:val="single" w:color="C7D9E2" w:sz="4"/>
          <w:insideH w:val="single" w:color="C7D9E2" w:sz="4"/>
          <w:insideV w:val="single" w:color="C7D9E2" w:sz="4"/>
        </w:tblBorders>
      </w:tblPr>
      <w:tblGrid>
        <w:gridCol w:w="5560"/>
        <w:gridCol w:w="1800"/>
        <w:gridCol w:w="2000"/>
      </w:tblGrid>
      <w:tr>
        <w:trPr>
          <w:tblHeader/>
        </w:trPr>
        <w:tc>
          <w:tcPr>
            <w:tcW w:type="dxa" w:w="556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LESSON</w:t>
            </w:r>
          </w:p>
        </w:tc>
        <w:tc>
          <w:tcPr>
            <w:tcW w:type="dxa" w:w="18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EVIDENCE FILED</w:t>
            </w:r>
          </w:p>
        </w:tc>
        <w:tc>
          <w:tcPr>
            <w:tcW w:type="dxa" w:w="2000"/>
            <w:shd w:fill="F1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b/>
                <w:bCs/>
                <w:color w:val="20647C"/>
                <w:sz w:val="16"/>
                <w:szCs w:val="16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01  Design collect, protect, analyze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02  Turn on the right auditing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03  Build the collector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04  Protect the record on SBD-AUDIT01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05  Analyze in SBD-SPLUNK01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19"/>
                <w:szCs w:val="19"/>
              </w:rPr>
              <w:t xml:space="preserve">06  Prove the chain and delta scan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526B7E"/>
                <w:sz w:val="19"/>
                <w:szCs w:val="19"/>
              </w:rPr>
              <w:t xml:space="preserve">☐ yes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8" w:lineRule="auto"/>
            </w:pPr>
            <w:r>
              <w:rPr>
                <w:rFonts w:ascii="Arial" w:cs="Arial" w:eastAsia="Arial" w:hAnsi="Arial"/>
                <w:color w:val="193448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Open items carried forward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Bdr>
          <w:bottom w:val="single" w:color="C7D9E2" w:sz="4" w:space="1"/>
        </w:pBdr>
        <w:spacing w:after="0" w:before="0" w:line="288" w:lineRule="auto"/>
      </w:pPr>
      <w:r>
        <w:rPr>
          <w:rFonts w:ascii="Arial" w:cs="Arial" w:eastAsia="Arial" w:hAnsi="Arial"/>
          <w:color w:val="193448"/>
          <w:sz w:val="21"/>
          <w:szCs w:val="21"/>
        </w:rPr>
        <w:t xml:space="preserve"> </w:t>
      </w:r>
    </w:p>
    <w:p>
      <w:pPr>
        <w:spacing w:after="120" w:before="0"/>
      </w:pPr>
      <w:r>
        <w:rPr>
          <w:rFonts w:ascii="Arial" w:cs="Arial" w:eastAsia="Arial" w:hAnsi="Arial"/>
          <w:color w:val="193448"/>
          <w:sz w:val="8"/>
          <w:szCs w:val="8"/>
        </w:rPr>
        <w:t xml:space="preserve"> 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93448"/>
          <w:sz w:val="26"/>
          <w:szCs w:val="26"/>
        </w:rPr>
        <w:t xml:space="preserve">Next in the learning path</w:t>
      </w:r>
    </w:p>
    <w:p>
      <w:pPr>
        <w:spacing w:after="120" w:before="0" w:line="288" w:lineRule="auto"/>
      </w:pPr>
      <w:r>
        <w:rPr>
          <w:rFonts w:ascii="Arial" w:cs="Arial" w:eastAsia="Arial" w:hAnsi="Arial"/>
          <w:color w:val="526B7E"/>
          <w:sz w:val="21"/>
          <w:szCs w:val="21"/>
        </w:rPr>
        <w:t xml:space="preserve">That completes course 1.8. Course 1.9 brings in the fifty-workstation fleet — watched, addressed, and policy-managed from first boot.</w:t>
      </w:r>
    </w:p>
    <w:p>
      <w:pPr>
        <w:pBdr>
          <w:left w:val="single" w:color="20647C" w:sz="18" w:space="8"/>
        </w:pBdr>
        <w:shd w:fill="F1F7FA" w:color="auto" w:val="clear"/>
        <w:spacing w:after="160" w:before="120" w:line="288" w:lineRule="auto"/>
        <w:ind w:left="160" w:right="160"/>
      </w:pPr>
      <w:r>
        <w:rPr>
          <w:rFonts w:ascii="Arial" w:cs="Arial" w:eastAsia="Arial" w:hAnsi="Arial"/>
          <w:b/>
          <w:bCs/>
          <w:color w:val="20647C"/>
          <w:sz w:val="17"/>
          <w:szCs w:val="17"/>
        </w:rPr>
        <w:t xml:space="preserve">KEEP IT HONEST  </w:t>
      </w:r>
      <w:r>
        <w:rPr>
          <w:rFonts w:ascii="Arial" w:cs="Arial" w:eastAsia="Arial" w:hAnsi="Arial"/>
          <w:color w:val="193448"/>
          <w:sz w:val="20"/>
          <w:szCs w:val="20"/>
        </w:rPr>
        <w:t xml:space="preserve">Lesson completion records learning activity; it is not a system authorization decision. Your observations, not the sample values, establish what happened in your environment.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88" w:lineRule="auto"/>
    </w:pPr>
    <w:r>
      <w:rPr>
        <w:rFonts w:ascii="Arial" w:cs="Arial" w:eastAsia="Arial" w:hAnsi="Arial"/>
        <w:color w:val="526B7E"/>
        <w:sz w:val="15"/>
        <w:szCs w:val="15"/>
      </w:rPr>
      <w:t xml:space="preserve">© 2026 Secure By Design Team LLC.   Course 1.8 · Materials edition 1.0     </w:t>
    </w:r>
    <w:r>
      <w:rPr>
        <w:rFonts w:ascii="Arial" w:cs="Arial" w:eastAsia="Arial" w:hAnsi="Arial"/>
        <w:color w:val="526B7E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9344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Arial" w:cs="Arial" w:eastAsia="Arial" w:hAnsi="Arial"/>
      <w:b/>
      <w:bCs/>
      <w:color w:val="193448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9344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76urxo5toa4keifqr_-c" Type="http://schemas.openxmlformats.org/officeDocument/2006/relationships/hyperlink" Target="https://learn.microsoft.com/en-us/windows/security/threat-protection/use-windows-event-forwarding-to-assist-in-intrusion-detection" TargetMode="External"/><Relationship Id="rIdbtmkq82ya97l6g0cxsump" Type="http://schemas.openxmlformats.org/officeDocument/2006/relationships/hyperlink" Target="https://csrc.nist.gov/pubs/sp/800/53/r5/upd1/final" TargetMode="External"/><Relationship Id="rIdhqxmvtssv6qnc7yfqftsc" Type="http://schemas.openxmlformats.org/officeDocument/2006/relationships/hyperlink" Target="https://learn.microsoft.com/en-us/windows/security/threat-protection/use-windows-event-forwarding-to-assist-in-intrusion-detection" TargetMode="External"/><Relationship Id="rIdbbmt6vkx4-dqja7j4aaun" Type="http://schemas.openxmlformats.org/officeDocument/2006/relationships/hyperlink" Target="https://learn.microsoft.com/en-us/windows-server/administration/windows-commands/auditpol" TargetMode="External"/><Relationship Id="rIdvvwmsv4csd9cmjnio9hik" Type="http://schemas.openxmlformats.org/officeDocument/2006/relationships/hyperlink" Target="https://learn.microsoft.com/en-us/windows/security/threat-protection/use-windows-event-forwarding-to-assist-in-intrusion-detection" TargetMode="External"/><Relationship Id="rIdvqctzsk2owcomzwbe2nsn" Type="http://schemas.openxmlformats.org/officeDocument/2006/relationships/hyperlink" Target="https://learn.microsoft.com/en-us/windows-server/administration/windows-commands/wecutil" TargetMode="External"/><Relationship Id="rIdtsqzzx284geef6w-kmjvb" Type="http://schemas.openxmlformats.org/officeDocument/2006/relationships/hyperlink" Target="https://learn.microsoft.com/en-us/windows-server/administration/windows-commands/wecutil" TargetMode="External"/><Relationship Id="rIdmaslezc2lanoitscjwhnm" Type="http://schemas.openxmlformats.org/officeDocument/2006/relationships/hyperlink" Target="https://csrc.nist.gov/pubs/sp/800/53/r5/upd1/final" TargetMode="External"/><Relationship Id="rId2j9r53kjkwkyig2bo4zsd" Type="http://schemas.openxmlformats.org/officeDocument/2006/relationships/hyperlink" Target="https://learn.microsoft.com/en-us/windows/security/threat-protection/use-windows-event-forwarding-to-assist-in-intrusion-detection" TargetMode="External"/><Relationship Id="rIdvuuuvtgh7n3bzg9y1kr9g" Type="http://schemas.openxmlformats.org/officeDocument/2006/relationships/hyperlink" Target="https://docs.splunk.com/Documentation" TargetMode="External"/><Relationship Id="rIdfrx9uqr95evmq6gfowv_a" Type="http://schemas.openxmlformats.org/officeDocument/2006/relationships/hyperlink" Target="https://learn.microsoft.com/en-us/windows-server/administration/windows-commands/wecutil" TargetMode="External"/><Relationship Id="rId8hm0h-9i7ndplo07djdrr" Type="http://schemas.openxmlformats.org/officeDocument/2006/relationships/hyperlink" Target="https://csrc.nist.gov/pubs/sp/800/53/r5/upd1/final" TargetMode="External"/><Relationship Id="rId8" Type="http://schemas.openxmlformats.org/officeDocument/2006/relationships/image" Target="media/315b4b2a7fe096c36787d89a85055bb8aacc1994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 everything: the logging pipeline — companion workbook</dc:title>
  <dc:creator>Secure By Design</dc:creator>
  <cp:lastModifiedBy>Un-named</cp:lastModifiedBy>
  <cp:revision>1</cp:revision>
  <dcterms:created xsi:type="dcterms:W3CDTF">2026-10-07T20:25:26.092Z</dcterms:created>
  <dcterms:modified xsi:type="dcterms:W3CDTF">2026-10-07T20:25:26.092Z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