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11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1.1    /    COURSE 1.9</w:t>
      </w:r>
    </w:p>
    <w:p>
      <w:pPr>
        <w:spacing w:after="80" w:before="0" w:line="288" w:lineRule="auto"/>
      </w:pPr>
      <w:r>
        <w:rPr>
          <w:rFonts w:ascii="Arial" w:cs="Arial" w:eastAsia="Arial" w:hAnsi="Arial"/>
          <w:color w:val="526B7E"/>
          <w:sz w:val="16"/>
          <w:szCs w:val="16"/>
        </w:rPr>
        <w:t xml:space="preserve">Updated 7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1.5–1.8: routed network, working PKI services, DHCP with its relay, the tiered admin plane, and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11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the container redirects from course 1.3, and the DISA Windows 11 STIG policies from the GPO package are ready to link.</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No new server is needed: the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11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11 STIG policies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11 reference image: current patches via the approved media process, no preinstalled extras,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Create a dedicated domain-join account delegated only the create-computer-objects right on the Workstations OU — no broader privilege rides along with fifty join operations. The course 1.3 redirect already guarantees machines land in that OU.</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11 STIG policies from the course 1.3 package to the Workstations OU now, so the very first pilot boots into the hardened state — and note that Windows 11's own secure defaults will already satisfy some checks, just as Server 2025 did.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C:\Staging\Win11-Reference.vhdx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Get-GPInheritance -Target 'OU=Workstations,OU=SBD,DC=sbd,DC=test'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the delegated right on the Workstations OU, and the STIG links show on that OU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report for the join account, and the OU's GPO inheritance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before it holds a machine.</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let each take its DHCP lease, and join sbd.test with the delegated account —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redirect working), gpresult shows the STIG policies applied, and the secure dynamic DNS record exists on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still holds: a pilot machine cannot reach another pilot machine's SMB or RDP, and cannot open anything toward VLAN 60 — the course 1.5 rules apply to the fleet automatically.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 events for the computer-account creations should already be on the collector and searchable in analysis — the first machines this network has watched arrive.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and DNS registered,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bczz2zbykbl6nzozyilhq">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Use Windows Event Forwarding to help with intrusion detection</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Extend the directory schema for Windows LAPS (Update-LapsADSchema) and grant the Workstations OU's computers the right to update their own password attributes — a one-time Tier 0 action, performed from the jump host and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the Tier 2 admin group only — exactly the people SBD-ADMIN-PC01 exists for — and nobody else;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managed built-in administrator, the password complexity and age the plan sets, and post-authentication reset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the admin seat, use it once, and watch rotation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from SBD-ADMIN-PC01, Tier 2 admin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the Tier 2 group can read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a pilot group; this lesson turns it loose. Widen the template permission to the fleet, let policy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the fleet.</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update the SBD Computer Authentication template's autoenrollment permission from the pilot group to the Workstations OU's computers —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autoenrollment policy already applies through the Workstations OU, refresh policy on the pilots, and watch certificates arrive with no human in the loop.</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endpoint, run the full verification: the chain must reach the approved root, and the AIA and CDP fetches must answer live from pki.sbd.test through the course 1.5 register row.</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fleet enrolling — volume the CA was designed for, finally arriving,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C:\Evidence\fleet\SBD-PC01.cer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at policy refresh, verification passes with live publication retrieval, and the CA's issued log reflects the fleet with the widened template version.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port stays closed until the machine proves who it is with the certificate it just enrolled. Anything that cannot ends up somewhere with no routes.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Require EAP-TLS with machine certificates on the VLAN 80 access ports.</w:t>
      </w:r>
    </w:p>
    <w:p>
      <w:pPr>
        <w:pStyle w:val="ListParagraph"/>
        <w:numPr>
          <w:ilvl w:val="0"/>
          <w:numId w:val="3"/>
        </w:numPr>
        <w:spacing w:after="120" w:before="0" w:line="288" w:lineRule="auto"/>
      </w:pPr>
      <w:r>
        <w:rPr>
          <w:rFonts w:ascii="Arial" w:cs="Arial" w:eastAsia="Arial" w:hAnsi="Arial"/>
          <w:color w:val="526B7E"/>
          <w:sz w:val="21"/>
          <w:szCs w:val="21"/>
        </w:rPr>
        <w:t xml:space="preserve">Send unknown devices to a quarantine VLAN and prove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and register it in Active Directory. Give it a server certificate with the Server Authentication purpose from the issuing CA. It handles port admission only; router logins stay the named local accounts from course 1.5,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with no gateway and no routes, and set the access ports to require 802.1X with VLAN 90 as the failure and guest VLAN.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Add register row F20 with its owner, and confirm NPS grant and denial events reach the course 1.8 collector through the existing event forwarding subscription.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recent NPS grants (6272) and denials (6273).</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An enrolled pilot authenticates and gets its normal VLAN 80 lease; an unenrolled test laptop lands in VLAN 90 and reaches nothing; NPS logs both outcomes, and they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port configuration, both test results with their NPS events,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lets a workstation onto a VLAN 80 port after this lesson?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VLAN 80 ports open only for machines with a certificate from the approved CA.  Unknown devices land in quarantine VLAN 90, which leads nowhere.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scale" w:id="8"/>
      <w:r>
        <w:rPr>
          <w:rFonts w:ascii="Arial" w:cs="Arial" w:eastAsia="Arial" w:hAnsi="Arial"/>
          <w:b/>
          <w:bCs/>
          <w:color w:val="193448"/>
          <w:sz w:val="40"/>
          <w:szCs w:val="40"/>
        </w:rPr>
        <w:t xml:space="preserve">Scale to fifty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then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w:t>
      </w:r>
    </w:p>
    <w:p>
      <w:pPr>
        <w:pStyle w:val="ListParagraph"/>
        <w:numPr>
          <w:ilvl w:val="0"/>
          <w:numId w:val="3"/>
        </w:numPr>
        <w:spacing w:after="120" w:before="0" w:line="288" w:lineRule="auto"/>
      </w:pPr>
      <w:r>
        <w:rPr>
          <w:rFonts w:ascii="Arial" w:cs="Arial" w:eastAsia="Arial" w:hAnsi="Arial"/>
          <w:color w:val="526B7E"/>
          <w:sz w:val="21"/>
          <w:szCs w:val="21"/>
        </w:rPr>
        <w:t xml:space="preserve">Widen event forwarding to cover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watching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Extend the course 1.8 forwarding subscription to the Workstations OU so all fifty endpoints report their security events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sample definition with its failure rule, the per-sample check results, and the widened subscription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A defined sample with a failure rule carried the proof.  The fleet reports into the pipeline like everything else.</w:t>
      </w:r>
    </w:p>
    <w:p>
      <w:pPr>
        <w:spacing w:after="60" w:before="0" w:line="288" w:lineRule="auto"/>
      </w:pPr>
      <w:hyperlink w:history="1" r:id="rIdy9qh42_2yvwg_egodet0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07  /  ABOUT 20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SCAP baselines on the sampled endpoints with the Windows 11 benchmark, rescans where the course changed infrastructure, and a fleet inventory the next wave's tooling will take over.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sampled endpoints with the Windows 11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inventory to the management wave.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Run SCC with the Windows 11 STIG benchmark against the sampled endpoints — the same sample set as lesson 6 — and note how much the pre-linked policies and the OS defaults already satisfy, exactly as the server baselines taught.</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the DCs (schema and LAPS attributes), the issuing CA (fleet enrollment volume), and SBD-DHCP01 (a scope now in full use); attribute each delta to its lesson.</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1.10's management tooling will take ownership of keeping it current.</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updates itself not at all — patching, endpoint protection, and vulnerability coverage are precisely what wave 5 builds next.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C:\Evidence\workstation-fleet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C:\Evidence\workstation-fleet\*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Sampled endpoints hold dated Windows 11 baselines,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endpoint baselines, infrastructure rescans, the fleet inventory,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Endpoint baselines by sample; infrastructure deltas attributed.  The fleet inventory is the closing artifact.  The gap — patching and protection — is named for wave 5.</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keeps the fleet alive: updates, approved software, endpoint protection, and the scanner that watches for weakness.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learn.microsoft.com/en-us/windows-server/networking/core-network-guide/cncg/server-certs/configure-server-certificate-autoenrollment" TargetMode="External"/><Relationship Id="rIdbczz2zbykbl6nzozyilhq" Type="http://schemas.openxmlformats.org/officeDocument/2006/relationships/hyperlink" Target="https://www.cyber.mil/stigs/gpo" TargetMode="External"/><Relationship Id="rIdt45ddlrjpyirdznh2r1xg" Type="http://schemas.openxmlformats.org/officeDocument/2006/relationships/hyperlink" Target="https://learn.microsoft.com/en-us/windows/security/threat-protection/use-windows-event-forwarding-to-assist-in-intrusion-detection"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get-started/whats-new-windows-server-2025"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curity/threat-protection/use-windows-event-forwarding-to-assist-in-intrusion-detection"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Un-named</cp:lastModifiedBy>
  <cp:revision>1</cp:revision>
  <dcterms:created xsi:type="dcterms:W3CDTF">2026-10-08T02:14:21.115Z</dcterms:created>
  <dcterms:modified xsi:type="dcterms:W3CDTF">2026-10-08T02:14:21.115Z</dcterms:modified>
</cp:coreProperties>
</file>

<file path=docProps/custom.xml><?xml version="1.0" encoding="utf-8"?>
<Properties xmlns="http://schemas.openxmlformats.org/officeDocument/2006/custom-properties" xmlns:vt="http://schemas.openxmlformats.org/officeDocument/2006/docPropsVTypes"/>
</file>