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TrustCore</w:t>
      </w:r>
    </w:p>
    <w:p>
      <w:pPr>
        <w:spacing w:after="40"/>
        <w:jc w:val="center"/>
      </w:pPr>
      <w:r>
        <w:rPr>
          <w:b/>
          <w:bCs/>
          <w:sz w:val="26"/>
          <w:szCs w:val="26"/>
        </w:rPr>
        <w:t xml:space="preserve">A Unified AI Trust-Scoring Engine for Fraud, Identity &amp; Access Security</w:t>
      </w:r>
    </w:p>
    <w:p>
      <w:pPr>
        <w:pBdr>
          <w:bottom w:val="single" w:color="1F3864" w:sz="6" w:space="6"/>
        </w:pBdr>
        <w:spacing w:after="300"/>
        <w:jc w:val="center"/>
      </w:pPr>
      <w:r>
        <w:rPr>
          <w:i/>
          <w:iCs/>
          <w:color w:val="555555"/>
          <w:sz w:val="22"/>
          <w:szCs w:val="22"/>
        </w:rPr>
        <w:t xml:space="preserve">IBM Z Datathon 2026  |  Track: Trust &amp; Identity</w:t>
      </w:r>
    </w:p>
    <w:p>
      <w:pPr>
        <w:pStyle w:val="Heading2"/>
        <w:spacing w:after="120" w:before="300"/>
      </w:pPr>
      <w:r>
        <w:rPr>
          <w:b/>
          <w:bCs/>
          <w:color w:val="1F3864"/>
        </w:rPr>
        <w:t xml:space="preserve">Problem Statement</w:t>
      </w:r>
    </w:p>
    <w:p>
      <w:pPr>
        <w:spacing w:after="200" w:line="300"/>
        <w:jc w:val="both"/>
      </w:pPr>
      <w:r>
        <w:t xml:space="preserve">As organizations digitize faster than ever, three trust failures are converging: payment fraud is growing more sophisticated through deepfakes, synthetic identities, and AI-generated phishing; identity verification struggles to scale without letting fake documents slip through; and insider or access threats go undetected because access patterns are too large for manual review. Most companies solve these as three separate problems with three separate tools, leading to fragmented security, higher costs, and slower fraud response. Small businesses and everyday users bear the real cost, such as a delivery worker scammed via a fake payment screenshot, a small business owner who unknowingly onboards a fraudulent vendor, or a customer whose data is mishandled due to poor access controls.</w:t>
      </w:r>
    </w:p>
    <w:p>
      <w:pPr>
        <w:pStyle w:val="Heading2"/>
        <w:spacing w:after="120" w:before="300"/>
      </w:pPr>
      <w:r>
        <w:rPr>
          <w:b/>
          <w:bCs/>
          <w:color w:val="1F3864"/>
        </w:rPr>
        <w:t xml:space="preserve">Target User</w:t>
      </w:r>
    </w:p>
    <w:p>
      <w:pPr>
        <w:spacing w:after="200" w:line="300"/>
        <w:jc w:val="both"/>
      </w:pPr>
      <w:r>
        <w:t xml:space="preserve">The primary persona is a small business owner or gig platform processing daily digital transactions and onboarding new users or vendors, who lacks the resources of a large enterprise fraud team but faces the same scale of risk. A secondary user group is internal security and compliance teams at growing companies who need one unified view of trust risk instead of siloed alerts.</w:t>
      </w:r>
    </w:p>
    <w:p>
      <w:pPr>
        <w:pStyle w:val="Heading2"/>
        <w:spacing w:after="120" w:before="300"/>
      </w:pPr>
      <w:r>
        <w:rPr>
          <w:b/>
          <w:bCs/>
          <w:color w:val="1F3864"/>
        </w:rPr>
        <w:t xml:space="preserve">Proposed Solution</w:t>
      </w:r>
    </w:p>
    <w:p>
      <w:pPr>
        <w:spacing w:after="200" w:line="300"/>
        <w:jc w:val="both"/>
      </w:pPr>
      <w:r>
        <w:t xml:space="preserve">TrustCore is a unified anomaly-detection and trust-scoring engine that applies one core AI model, combined with rule-based domain logic, across three real-world trust problems: payment and transaction fraud detection that flags anomalous transactions in real time; identity and document verification that detects tampered or synthetic identity documents during onboarding; and access anomaly detection that flags unusual internal access patterns before they become insider threats. Rather than a black-box score, every flagged item comes with a human-readable explanation, such as an unusual transaction time or an expiry date that precedes the issue date, so a human reviewer can make the final call, building trust in the AI system itself and not just in what it detects.</w:t>
      </w:r>
    </w:p>
    <w:p>
      <w:pPr>
        <w:pStyle w:val="Heading2"/>
        <w:spacing w:after="120" w:before="300"/>
      </w:pPr>
      <w:r>
        <w:rPr>
          <w:b/>
          <w:bCs/>
          <w:color w:val="1F3864"/>
        </w:rPr>
        <w:t xml:space="preserve">Why This Matters ("AI for Good")</w:t>
      </w:r>
    </w:p>
    <w:p>
      <w:pPr>
        <w:spacing w:after="200" w:line="300"/>
        <w:jc w:val="both"/>
      </w:pPr>
      <w:r>
        <w:t xml:space="preserve">Fraud and identity theft disproportionately hurt those with the least recourse, including small vendors, gig workers, and everyday users, while compliance frameworks such as India's DPDP Act and GDPR increasingly demand systems that can prove why a decision was made, not just that it was made. TrustCore is designed to make trust-and-safety infrastructure accessible to organizations that cannot afford enterprise-grade fraud teams, while remaining explainable and audit-ready by design.</w:t>
      </w:r>
    </w:p>
    <w:p>
      <w:pPr>
        <w:pStyle w:val="Heading2"/>
        <w:spacing w:after="120" w:before="300"/>
      </w:pPr>
      <w:r>
        <w:rPr>
          <w:b/>
          <w:bCs/>
          <w:color w:val="1F3864"/>
        </w:rPr>
        <w:t xml:space="preserve">Technical Approach &amp; IBM Z Relevance</w:t>
      </w:r>
    </w:p>
    <w:p>
      <w:pPr>
        <w:spacing w:after="200" w:line="300"/>
        <w:jc w:val="both"/>
      </w:pPr>
      <w:r>
        <w:t xml:space="preserve">The system uses a hybrid model combining anomaly detection, such as Isolation Forest or clustering, with domain-specific rule logic, exposed through an API and visualized on a live dashboard. This architecture reflects the kind of high-volume, low-latency transaction analysis that IBM Z and LinuxONE are built for: real-time, enterprise-scale trust decisions without compromising explainability or auditability.</w:t>
      </w:r>
    </w:p>
    <w:p>
      <w:pPr>
        <w:pStyle w:val="Heading2"/>
        <w:spacing w:after="120" w:before="300"/>
      </w:pPr>
      <w:r>
        <w:rPr>
          <w:b/>
          <w:bCs/>
          <w:color w:val="1F3864"/>
        </w:rPr>
        <w:t xml:space="preserve">Innovation &amp; Impact</w:t>
      </w:r>
    </w:p>
    <w:p>
      <w:pPr>
        <w:spacing w:after="200" w:line="300"/>
        <w:jc w:val="both"/>
      </w:pPr>
      <w:r>
        <w:t xml:space="preserve">Instead of three disconnected tools, TrustCore demonstrates that one explainable trust engine can generalize across fraud, identity, and access security, reducing cost and complexity for organizations while giving every flagged decision a clear, human-understandable reason. This positions the project as both immediately practical for a datathon demo and scalable toward real enterprise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2026-08-24T15:07:22.885Z</dcterms:created>
  <dcterms:modified xsi:type="dcterms:W3CDTF">2026-08-24T15:07:22.904Z</dcterms:modified>
</cp:coreProperties>
</file>

<file path=docProps/custom.xml><?xml version="1.0" encoding="utf-8"?>
<Properties xmlns="http://schemas.openxmlformats.org/officeDocument/2006/custom-properties" xmlns:vt="http://schemas.openxmlformats.org/officeDocument/2006/docPropsVTypes"/>
</file>