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8886908"/>
        <w:docPartObj>
          <w:docPartGallery w:val="Cover Pages"/>
          <w:docPartUnique/>
        </w:docPartObj>
      </w:sdtPr>
      <w:sdtContent>
        <w:p w14:paraId="16CECFA5" w14:textId="5359FA64" w:rsidR="00801510" w:rsidRPr="005B70B1" w:rsidRDefault="00801510" w:rsidP="00801510">
          <w:pPr>
            <w:jc w:val="center"/>
            <w:rPr>
              <w:rFonts w:cs="Arial"/>
            </w:rPr>
          </w:pPr>
          <w:r>
            <w:rPr>
              <w:rFonts w:cs="Arial"/>
              <w:noProof/>
              <w:lang w:eastAsia="fr-CA"/>
            </w:rPr>
            <w:drawing>
              <wp:inline distT="0" distB="0" distL="0" distR="0" wp14:anchorId="23FA6976" wp14:editId="638B7D82">
                <wp:extent cx="1526502" cy="1060517"/>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egep_limoilou-570x39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8850" cy="1082990"/>
                        </a:xfrm>
                        <a:prstGeom prst="rect">
                          <a:avLst/>
                        </a:prstGeom>
                      </pic:spPr>
                    </pic:pic>
                  </a:graphicData>
                </a:graphic>
              </wp:inline>
            </w:drawing>
          </w:r>
        </w:p>
        <w:p w14:paraId="1700A6A4" w14:textId="77777777" w:rsidR="00801510" w:rsidRPr="005B70B1" w:rsidRDefault="00801510" w:rsidP="00801510">
          <w:pPr>
            <w:jc w:val="center"/>
            <w:rPr>
              <w:rFonts w:cs="Arial"/>
            </w:rPr>
          </w:pPr>
          <w:r>
            <w:rPr>
              <w:rFonts w:cs="Arial"/>
            </w:rPr>
            <w:t>Cégep Limoilou</w:t>
          </w:r>
        </w:p>
        <w:p w14:paraId="0F058FD0" w14:textId="77777777" w:rsidR="00801510" w:rsidRDefault="00801510" w:rsidP="00801510">
          <w:pPr>
            <w:rPr>
              <w:rFonts w:cs="Arial"/>
            </w:rPr>
          </w:pPr>
        </w:p>
        <w:p w14:paraId="636AD4CF" w14:textId="77777777" w:rsidR="00801510" w:rsidRDefault="00801510" w:rsidP="00801510">
          <w:pPr>
            <w:rPr>
              <w:rFonts w:cs="Arial"/>
            </w:rPr>
          </w:pPr>
        </w:p>
        <w:p w14:paraId="1472F686" w14:textId="77777777" w:rsidR="00801510" w:rsidRPr="005B70B1" w:rsidRDefault="00801510" w:rsidP="00801510">
          <w:pPr>
            <w:jc w:val="center"/>
            <w:rPr>
              <w:rFonts w:cs="Arial"/>
            </w:rPr>
          </w:pPr>
        </w:p>
        <w:p w14:paraId="196826AF" w14:textId="29B482FA" w:rsidR="00801510" w:rsidRPr="005B70B1" w:rsidRDefault="001204C6" w:rsidP="00801510">
          <w:pPr>
            <w:jc w:val="center"/>
            <w:rPr>
              <w:rFonts w:cs="Arial"/>
            </w:rPr>
          </w:pPr>
          <w:r>
            <w:rPr>
              <w:rFonts w:cs="Arial"/>
            </w:rPr>
            <w:t>TP1</w:t>
          </w:r>
        </w:p>
        <w:p w14:paraId="4BA0BD4C" w14:textId="77777777" w:rsidR="00801510" w:rsidRDefault="00801510" w:rsidP="00801510">
          <w:pPr>
            <w:rPr>
              <w:rFonts w:cs="Arial"/>
            </w:rPr>
          </w:pPr>
        </w:p>
        <w:p w14:paraId="708AEF83" w14:textId="77777777" w:rsidR="00801510" w:rsidRDefault="00801510" w:rsidP="00801510">
          <w:pPr>
            <w:jc w:val="center"/>
            <w:rPr>
              <w:rFonts w:cs="Arial"/>
            </w:rPr>
          </w:pPr>
        </w:p>
        <w:p w14:paraId="1D136BCE" w14:textId="77777777" w:rsidR="00801510" w:rsidRPr="005B70B1" w:rsidRDefault="00801510" w:rsidP="00801510">
          <w:pPr>
            <w:jc w:val="center"/>
            <w:rPr>
              <w:rFonts w:cs="Arial"/>
            </w:rPr>
          </w:pPr>
        </w:p>
        <w:p w14:paraId="0D1B7104" w14:textId="77777777" w:rsidR="00801510" w:rsidRDefault="00801510" w:rsidP="00801510">
          <w:pPr>
            <w:jc w:val="center"/>
            <w:rPr>
              <w:rFonts w:cs="Arial"/>
            </w:rPr>
          </w:pPr>
          <w:r w:rsidRPr="005B70B1">
            <w:rPr>
              <w:rFonts w:cs="Arial"/>
            </w:rPr>
            <w:t>T</w:t>
          </w:r>
          <w:r>
            <w:rPr>
              <w:rFonts w:cs="Arial"/>
            </w:rPr>
            <w:t>ravail présenté à :</w:t>
          </w:r>
        </w:p>
        <w:p w14:paraId="70CB5C40" w14:textId="7FA4B00F" w:rsidR="00801510" w:rsidRPr="005B70B1" w:rsidRDefault="001204C6" w:rsidP="00801510">
          <w:pPr>
            <w:jc w:val="center"/>
            <w:rPr>
              <w:rFonts w:cs="Arial"/>
            </w:rPr>
          </w:pPr>
          <w:r>
            <w:rPr>
              <w:rFonts w:cs="Arial"/>
            </w:rPr>
            <w:t>Patrick Dubois</w:t>
          </w:r>
        </w:p>
        <w:p w14:paraId="449EED20" w14:textId="77777777" w:rsidR="00801510" w:rsidRDefault="00801510" w:rsidP="00801510">
          <w:pPr>
            <w:rPr>
              <w:rFonts w:cs="Arial"/>
            </w:rPr>
          </w:pPr>
        </w:p>
        <w:p w14:paraId="1FFBB16E" w14:textId="77777777" w:rsidR="00801510" w:rsidRDefault="00801510" w:rsidP="00801510">
          <w:pPr>
            <w:jc w:val="center"/>
            <w:rPr>
              <w:rFonts w:cs="Arial"/>
            </w:rPr>
          </w:pPr>
        </w:p>
        <w:p w14:paraId="15D28368" w14:textId="77777777" w:rsidR="00801510" w:rsidRPr="005B70B1" w:rsidRDefault="00801510" w:rsidP="00801510">
          <w:pPr>
            <w:jc w:val="center"/>
            <w:rPr>
              <w:rFonts w:cs="Arial"/>
            </w:rPr>
          </w:pPr>
        </w:p>
        <w:p w14:paraId="4807FA55" w14:textId="77777777" w:rsidR="00801510" w:rsidRDefault="00801510" w:rsidP="00801510">
          <w:pPr>
            <w:jc w:val="center"/>
            <w:rPr>
              <w:rFonts w:cs="Arial"/>
            </w:rPr>
          </w:pPr>
          <w:r w:rsidRPr="005B70B1">
            <w:rPr>
              <w:rFonts w:cs="Arial"/>
            </w:rPr>
            <w:t>D</w:t>
          </w:r>
          <w:r>
            <w:rPr>
              <w:rFonts w:cs="Arial"/>
            </w:rPr>
            <w:t>ans le cadre du cours :</w:t>
          </w:r>
        </w:p>
        <w:p w14:paraId="751B68A4" w14:textId="15E956E5" w:rsidR="00801510" w:rsidRDefault="00801510" w:rsidP="00801510">
          <w:pPr>
            <w:jc w:val="center"/>
            <w:rPr>
              <w:rFonts w:cs="Arial"/>
            </w:rPr>
          </w:pPr>
          <w:r>
            <w:rPr>
              <w:rFonts w:cs="Arial"/>
            </w:rPr>
            <w:t>420</w:t>
          </w:r>
          <w:r w:rsidR="00067347">
            <w:rPr>
              <w:rFonts w:cs="Arial"/>
            </w:rPr>
            <w:t>-</w:t>
          </w:r>
          <w:r w:rsidR="00AC0841">
            <w:rPr>
              <w:rFonts w:cs="Arial"/>
            </w:rPr>
            <w:t>6B6</w:t>
          </w:r>
          <w:r>
            <w:rPr>
              <w:rFonts w:cs="Arial"/>
            </w:rPr>
            <w:t>-LI</w:t>
          </w:r>
        </w:p>
        <w:p w14:paraId="378A4CA5" w14:textId="7E29D0CA" w:rsidR="00801510" w:rsidRDefault="00067347" w:rsidP="00801510">
          <w:pPr>
            <w:jc w:val="center"/>
            <w:rPr>
              <w:rFonts w:cs="Arial"/>
            </w:rPr>
          </w:pPr>
          <w:r w:rsidRPr="00067347">
            <w:rPr>
              <w:rFonts w:cs="Arial"/>
            </w:rPr>
            <w:t>Sécurité des applications</w:t>
          </w:r>
        </w:p>
        <w:p w14:paraId="4FAB3387" w14:textId="77777777" w:rsidR="00801510" w:rsidRDefault="00801510" w:rsidP="00801510">
          <w:pPr>
            <w:rPr>
              <w:rFonts w:cs="Arial"/>
            </w:rPr>
          </w:pPr>
        </w:p>
        <w:p w14:paraId="75E496DC" w14:textId="77777777" w:rsidR="00801510" w:rsidRDefault="00801510" w:rsidP="00801510">
          <w:pPr>
            <w:rPr>
              <w:rFonts w:cs="Arial"/>
            </w:rPr>
          </w:pPr>
        </w:p>
        <w:p w14:paraId="5D7C6770" w14:textId="77777777" w:rsidR="00801510" w:rsidRPr="005B70B1" w:rsidRDefault="00801510" w:rsidP="00801510">
          <w:pPr>
            <w:rPr>
              <w:rFonts w:cs="Arial"/>
            </w:rPr>
          </w:pPr>
        </w:p>
        <w:p w14:paraId="089914B9" w14:textId="77777777" w:rsidR="00801510" w:rsidRDefault="00801510" w:rsidP="00801510">
          <w:pPr>
            <w:jc w:val="center"/>
            <w:rPr>
              <w:rFonts w:cs="Arial"/>
            </w:rPr>
          </w:pPr>
          <w:r w:rsidRPr="005B70B1">
            <w:rPr>
              <w:rFonts w:cs="Arial"/>
            </w:rPr>
            <w:t>P</w:t>
          </w:r>
          <w:r>
            <w:rPr>
              <w:rFonts w:cs="Arial"/>
            </w:rPr>
            <w:t xml:space="preserve">ar : </w:t>
          </w:r>
        </w:p>
        <w:p w14:paraId="73BCB94C" w14:textId="6CB69C3B" w:rsidR="00801510" w:rsidRDefault="001204C6" w:rsidP="00801510">
          <w:pPr>
            <w:jc w:val="center"/>
            <w:rPr>
              <w:rFonts w:cs="Arial"/>
            </w:rPr>
          </w:pPr>
          <w:r>
            <w:rPr>
              <w:rFonts w:cs="Arial"/>
            </w:rPr>
            <w:t xml:space="preserve">Amir </w:t>
          </w:r>
          <w:proofErr w:type="spellStart"/>
          <w:r>
            <w:rPr>
              <w:rFonts w:cs="Arial"/>
            </w:rPr>
            <w:t>Boulmerka</w:t>
          </w:r>
          <w:proofErr w:type="spellEnd"/>
          <w:r>
            <w:rPr>
              <w:rFonts w:cs="Arial"/>
            </w:rPr>
            <w:t>, Lawrence Lefebvre et Antoine Fortier</w:t>
          </w:r>
        </w:p>
        <w:p w14:paraId="5AC5CD6D" w14:textId="77777777" w:rsidR="001204C6" w:rsidRDefault="001204C6" w:rsidP="00801510">
          <w:pPr>
            <w:jc w:val="center"/>
            <w:rPr>
              <w:rFonts w:cs="Arial"/>
            </w:rPr>
          </w:pPr>
        </w:p>
        <w:p w14:paraId="2A1D8C60" w14:textId="09E19412" w:rsidR="00801510" w:rsidRDefault="00801510" w:rsidP="00801510">
          <w:pPr>
            <w:jc w:val="center"/>
            <w:rPr>
              <w:rFonts w:cs="Arial"/>
            </w:rPr>
          </w:pPr>
        </w:p>
        <w:p w14:paraId="4D9C591A" w14:textId="77777777" w:rsidR="00801510" w:rsidRDefault="00801510" w:rsidP="00801510">
          <w:pPr>
            <w:jc w:val="center"/>
            <w:rPr>
              <w:rFonts w:cs="Arial"/>
            </w:rPr>
          </w:pPr>
        </w:p>
        <w:p w14:paraId="2016B5E3" w14:textId="1CDE178E" w:rsidR="00801510" w:rsidRDefault="00801510" w:rsidP="00801510">
          <w:pPr>
            <w:jc w:val="center"/>
            <w:rPr>
              <w:rFonts w:cs="Arial"/>
            </w:rPr>
          </w:pPr>
          <w:r w:rsidRPr="005B70B1">
            <w:rPr>
              <w:rFonts w:cs="Arial"/>
            </w:rPr>
            <w:t>D</w:t>
          </w:r>
          <w:r>
            <w:rPr>
              <w:rFonts w:cs="Arial"/>
            </w:rPr>
            <w:t xml:space="preserve">ate : </w:t>
          </w:r>
          <w:r w:rsidR="001204C6">
            <w:rPr>
              <w:rFonts w:cs="Arial"/>
            </w:rPr>
            <w:t>2024-04-03</w:t>
          </w:r>
        </w:p>
        <w:p w14:paraId="59DE6AA2" w14:textId="77777777" w:rsidR="00801510" w:rsidRDefault="00801510" w:rsidP="00801510">
          <w:pPr>
            <w:jc w:val="center"/>
            <w:rPr>
              <w:rFonts w:cs="Arial"/>
            </w:rPr>
          </w:pPr>
        </w:p>
        <w:p w14:paraId="22BA4DE6" w14:textId="146234F3" w:rsidR="00C8548B" w:rsidRDefault="00000000" w:rsidP="00801510">
          <w:pPr>
            <w:jc w:val="center"/>
          </w:pPr>
        </w:p>
      </w:sdtContent>
    </w:sdt>
    <w:p w14:paraId="5F3D13B7" w14:textId="135B3CF8" w:rsidR="00BC0AF0" w:rsidRDefault="00C8548B" w:rsidP="00C8548B">
      <w:pPr>
        <w:pStyle w:val="Titre2"/>
      </w:pPr>
      <w:r>
        <w:t>Introduction :</w:t>
      </w:r>
    </w:p>
    <w:p w14:paraId="61AC6235" w14:textId="77777777" w:rsidR="001204C6" w:rsidRDefault="001204C6" w:rsidP="001204C6">
      <w:pPr>
        <w:spacing w:after="54" w:line="267" w:lineRule="auto"/>
        <w:ind w:right="240"/>
      </w:pPr>
      <w:r>
        <w:t xml:space="preserve">Sécurité des logs, des journaux et de la gestion des erreurs. </w:t>
      </w:r>
    </w:p>
    <w:p w14:paraId="7274D3CB" w14:textId="5F2908BF" w:rsidR="001B3224" w:rsidRDefault="001204C6" w:rsidP="00C8548B">
      <w:r w:rsidRPr="001204C6">
        <w:t>Un log, événement ou journal, est simplement la notification d'un événement d'une importance plus ou moins élevée envoyée par un service, un système, un élément réseau ou une application. Les journaux d’événement permettent en administration systèmes, réseaux et en sécurité de retracer les actions et la vie d'un système. Les logs ont un intérêt et une importance cruciale en informatique, car il s'agit là de savoir ce qu'il s'est passé sur un ensemble d'applications ou systèmes</w:t>
      </w:r>
      <w:r>
        <w:t>.</w:t>
      </w:r>
    </w:p>
    <w:p w14:paraId="236705C8" w14:textId="2549819C" w:rsidR="001B3224" w:rsidRDefault="001B3224" w:rsidP="001B3224">
      <w:pPr>
        <w:pStyle w:val="Titre2"/>
      </w:pPr>
      <w:r>
        <w:t>Clientèle cible :</w:t>
      </w:r>
    </w:p>
    <w:p w14:paraId="51246290" w14:textId="33DA5877" w:rsidR="001B3224" w:rsidRDefault="007763A1" w:rsidP="001B3224">
      <w:r w:rsidRPr="007763A1">
        <w:t>Cette présentation est pour les programmeurs qui effectueront des tâches de programmation ou de maintien sur un système.</w:t>
      </w:r>
    </w:p>
    <w:p w14:paraId="285FCDBD" w14:textId="6A661A8D" w:rsidR="001B3224" w:rsidRDefault="001B3224" w:rsidP="001B3224">
      <w:pPr>
        <w:pStyle w:val="Titre2"/>
      </w:pPr>
      <w:r>
        <w:t>Objectifs :</w:t>
      </w:r>
    </w:p>
    <w:p w14:paraId="65842EF8" w14:textId="09A32A5C" w:rsidR="007763A1" w:rsidRDefault="007763A1" w:rsidP="007763A1">
      <w:pPr>
        <w:pStyle w:val="Paragraphedeliste"/>
        <w:numPr>
          <w:ilvl w:val="0"/>
          <w:numId w:val="6"/>
        </w:numPr>
      </w:pPr>
      <w:r>
        <w:t>Informer les utilisateurs sur l’importance des logs dans un system.</w:t>
      </w:r>
    </w:p>
    <w:p w14:paraId="1B0AC1BA" w14:textId="5A8F1338" w:rsidR="007763A1" w:rsidRDefault="007763A1" w:rsidP="007763A1">
      <w:pPr>
        <w:pStyle w:val="Paragraphedeliste"/>
        <w:numPr>
          <w:ilvl w:val="0"/>
          <w:numId w:val="6"/>
        </w:numPr>
      </w:pPr>
      <w:r>
        <w:t>Informer les utilisateurs sur les failles de sécurités possibles liées aux logs d’un system.</w:t>
      </w:r>
    </w:p>
    <w:p w14:paraId="19A4AFF4" w14:textId="2B2C2458" w:rsidR="00130AD9" w:rsidRDefault="007763A1" w:rsidP="007763A1">
      <w:pPr>
        <w:pStyle w:val="Paragraphedeliste"/>
        <w:numPr>
          <w:ilvl w:val="0"/>
          <w:numId w:val="6"/>
        </w:numPr>
      </w:pPr>
      <w:r>
        <w:t>Informer les utilisateurs sur comment bien sécuriser les logs d’un system.</w:t>
      </w:r>
    </w:p>
    <w:p w14:paraId="25AD053A" w14:textId="35D3BF5A" w:rsidR="001B3224" w:rsidRDefault="001B3224" w:rsidP="00130AD9">
      <w:pPr>
        <w:pStyle w:val="Titre2"/>
      </w:pPr>
      <w:r>
        <w:t>Contenu général :</w:t>
      </w:r>
    </w:p>
    <w:p w14:paraId="65960F83" w14:textId="0A10C4BE" w:rsidR="00130AD9" w:rsidRDefault="00130AD9" w:rsidP="001B3224"/>
    <w:p w14:paraId="0F9A914F" w14:textId="1C7006E9" w:rsidR="00AF52F1" w:rsidRDefault="00662B0C" w:rsidP="001B3224">
      <w:r>
        <w:t>[</w:t>
      </w:r>
      <w:r w:rsidRPr="00477B8A">
        <w:rPr>
          <w:highlight w:val="yellow"/>
        </w:rPr>
        <w:t>Quels sont les points et sous-points qui seront traités ?</w:t>
      </w:r>
      <w:r w:rsidR="00477B8A">
        <w:t>].</w:t>
      </w:r>
    </w:p>
    <w:p w14:paraId="465E9CDB" w14:textId="77777777" w:rsidR="003153C4" w:rsidRDefault="003153C4" w:rsidP="001B3224"/>
    <w:p w14:paraId="41CB9D5F" w14:textId="77777777" w:rsidR="00653024" w:rsidRPr="00653024" w:rsidRDefault="00653024" w:rsidP="00653024">
      <w:pPr>
        <w:spacing w:after="300" w:line="240" w:lineRule="auto"/>
        <w:rPr>
          <w:rFonts w:ascii="Arial" w:eastAsia="Times New Roman" w:hAnsi="Arial" w:cs="Arial"/>
          <w:color w:val="162833"/>
          <w:sz w:val="24"/>
          <w:szCs w:val="24"/>
          <w:lang w:val="fr-FR" w:eastAsia="fr-FR"/>
        </w:rPr>
      </w:pPr>
      <w:r w:rsidRPr="00653024">
        <w:rPr>
          <w:rFonts w:ascii="Arial" w:eastAsia="Times New Roman" w:hAnsi="Arial" w:cs="Arial"/>
          <w:b/>
          <w:bCs/>
          <w:color w:val="162833"/>
          <w:sz w:val="24"/>
          <w:szCs w:val="24"/>
          <w:lang w:val="fr-FR" w:eastAsia="fr-FR"/>
        </w:rPr>
        <w:t>Les failles les plus courantes :</w:t>
      </w:r>
    </w:p>
    <w:p w14:paraId="3B612B1D" w14:textId="77777777" w:rsidR="00653024" w:rsidRPr="00653024" w:rsidRDefault="00653024" w:rsidP="00653024">
      <w:pPr>
        <w:numPr>
          <w:ilvl w:val="0"/>
          <w:numId w:val="4"/>
        </w:numPr>
        <w:spacing w:before="100" w:beforeAutospacing="1" w:after="150" w:line="240" w:lineRule="auto"/>
        <w:rPr>
          <w:rFonts w:ascii="Arial" w:eastAsia="Times New Roman" w:hAnsi="Arial" w:cs="Arial"/>
          <w:color w:val="162833"/>
          <w:sz w:val="27"/>
          <w:szCs w:val="27"/>
          <w:lang w:val="fr-FR" w:eastAsia="fr-FR"/>
        </w:rPr>
      </w:pPr>
      <w:r w:rsidRPr="00653024">
        <w:rPr>
          <w:rFonts w:ascii="Arial" w:eastAsia="Times New Roman" w:hAnsi="Arial" w:cs="Arial"/>
          <w:color w:val="162833"/>
          <w:sz w:val="27"/>
          <w:szCs w:val="27"/>
          <w:lang w:val="fr-FR" w:eastAsia="fr-FR"/>
        </w:rPr>
        <w:t>Les connexions, échecs de connexion ou de transactions sensibles ne sont pas journalisées</w:t>
      </w:r>
    </w:p>
    <w:p w14:paraId="19BFDD11" w14:textId="77777777" w:rsidR="00653024" w:rsidRPr="00653024" w:rsidRDefault="00653024" w:rsidP="00653024">
      <w:pPr>
        <w:numPr>
          <w:ilvl w:val="0"/>
          <w:numId w:val="4"/>
        </w:numPr>
        <w:spacing w:before="100" w:beforeAutospacing="1" w:after="150" w:line="240" w:lineRule="auto"/>
        <w:rPr>
          <w:rFonts w:ascii="Arial" w:eastAsia="Times New Roman" w:hAnsi="Arial" w:cs="Arial"/>
          <w:color w:val="162833"/>
          <w:sz w:val="27"/>
          <w:szCs w:val="27"/>
          <w:lang w:val="fr-FR" w:eastAsia="fr-FR"/>
        </w:rPr>
      </w:pPr>
      <w:r w:rsidRPr="00653024">
        <w:rPr>
          <w:rFonts w:ascii="Arial" w:eastAsia="Times New Roman" w:hAnsi="Arial" w:cs="Arial"/>
          <w:color w:val="162833"/>
          <w:sz w:val="27"/>
          <w:szCs w:val="27"/>
          <w:lang w:val="fr-FR" w:eastAsia="fr-FR"/>
        </w:rPr>
        <w:t>Les alertes ou les erreurs ne font l’objet que de journalisations insuffisantes ou peu claires, s’ils en font l’objet tout court</w:t>
      </w:r>
    </w:p>
    <w:p w14:paraId="70908D5F" w14:textId="77777777" w:rsidR="00653024" w:rsidRPr="00653024" w:rsidRDefault="00653024" w:rsidP="00653024">
      <w:pPr>
        <w:numPr>
          <w:ilvl w:val="0"/>
          <w:numId w:val="4"/>
        </w:numPr>
        <w:spacing w:before="100" w:beforeAutospacing="1" w:after="150" w:line="240" w:lineRule="auto"/>
        <w:rPr>
          <w:rFonts w:ascii="Arial" w:eastAsia="Times New Roman" w:hAnsi="Arial" w:cs="Arial"/>
          <w:color w:val="162833"/>
          <w:sz w:val="27"/>
          <w:szCs w:val="27"/>
          <w:lang w:val="fr-FR" w:eastAsia="fr-FR"/>
        </w:rPr>
      </w:pPr>
      <w:r w:rsidRPr="00653024">
        <w:rPr>
          <w:rFonts w:ascii="Arial" w:eastAsia="Times New Roman" w:hAnsi="Arial" w:cs="Arial"/>
          <w:color w:val="162833"/>
          <w:sz w:val="27"/>
          <w:szCs w:val="27"/>
          <w:lang w:val="fr-FR" w:eastAsia="fr-FR"/>
        </w:rPr>
        <w:t>Les protocoles d’API et d’application ne sont pas contrôlés pour déceler des activités suspectes</w:t>
      </w:r>
    </w:p>
    <w:p w14:paraId="748C5830" w14:textId="77777777" w:rsidR="00653024" w:rsidRPr="00653024" w:rsidRDefault="00653024" w:rsidP="00653024">
      <w:pPr>
        <w:numPr>
          <w:ilvl w:val="0"/>
          <w:numId w:val="4"/>
        </w:numPr>
        <w:spacing w:before="100" w:beforeAutospacing="1" w:after="150" w:line="240" w:lineRule="auto"/>
        <w:rPr>
          <w:rFonts w:ascii="Arial" w:eastAsia="Times New Roman" w:hAnsi="Arial" w:cs="Arial"/>
          <w:color w:val="162833"/>
          <w:sz w:val="27"/>
          <w:szCs w:val="27"/>
          <w:lang w:val="fr-FR" w:eastAsia="fr-FR"/>
        </w:rPr>
      </w:pPr>
      <w:r w:rsidRPr="00653024">
        <w:rPr>
          <w:rFonts w:ascii="Arial" w:eastAsia="Times New Roman" w:hAnsi="Arial" w:cs="Arial"/>
          <w:color w:val="162833"/>
          <w:sz w:val="27"/>
          <w:szCs w:val="27"/>
          <w:lang w:val="fr-FR" w:eastAsia="fr-FR"/>
        </w:rPr>
        <w:t>Les protocoles ne sont stockés qu’en local</w:t>
      </w:r>
    </w:p>
    <w:p w14:paraId="4720322E" w14:textId="77777777" w:rsidR="00653024" w:rsidRPr="00653024" w:rsidRDefault="00653024" w:rsidP="00653024">
      <w:pPr>
        <w:numPr>
          <w:ilvl w:val="0"/>
          <w:numId w:val="4"/>
        </w:numPr>
        <w:spacing w:before="100" w:beforeAutospacing="1" w:after="150" w:line="240" w:lineRule="auto"/>
        <w:rPr>
          <w:rFonts w:ascii="Arial" w:eastAsia="Times New Roman" w:hAnsi="Arial" w:cs="Arial"/>
          <w:color w:val="162833"/>
          <w:sz w:val="27"/>
          <w:szCs w:val="27"/>
          <w:lang w:val="fr-FR" w:eastAsia="fr-FR"/>
        </w:rPr>
      </w:pPr>
      <w:r w:rsidRPr="00653024">
        <w:rPr>
          <w:rFonts w:ascii="Arial" w:eastAsia="Times New Roman" w:hAnsi="Arial" w:cs="Arial"/>
          <w:color w:val="162833"/>
          <w:sz w:val="27"/>
          <w:szCs w:val="27"/>
          <w:lang w:val="fr-FR" w:eastAsia="fr-FR"/>
        </w:rPr>
        <w:t>Il n’y a pas de seuil ou un seuil inefficace d’alerte ni de remontée d’information pour y répondre</w:t>
      </w:r>
    </w:p>
    <w:p w14:paraId="3931FB95" w14:textId="77777777" w:rsidR="00653024" w:rsidRDefault="00653024" w:rsidP="00653024">
      <w:pPr>
        <w:numPr>
          <w:ilvl w:val="0"/>
          <w:numId w:val="4"/>
        </w:numPr>
        <w:spacing w:before="100" w:beforeAutospacing="1" w:after="150" w:line="240" w:lineRule="auto"/>
        <w:rPr>
          <w:rFonts w:ascii="Arial" w:eastAsia="Times New Roman" w:hAnsi="Arial" w:cs="Arial"/>
          <w:color w:val="162833"/>
          <w:sz w:val="27"/>
          <w:szCs w:val="27"/>
          <w:lang w:val="fr-FR" w:eastAsia="fr-FR"/>
        </w:rPr>
      </w:pPr>
      <w:r w:rsidRPr="00653024">
        <w:rPr>
          <w:rFonts w:ascii="Arial" w:eastAsia="Times New Roman" w:hAnsi="Arial" w:cs="Arial"/>
          <w:color w:val="162833"/>
          <w:sz w:val="27"/>
          <w:szCs w:val="27"/>
          <w:lang w:val="fr-FR" w:eastAsia="fr-FR"/>
        </w:rPr>
        <w:t>Il n’est pas possible d’identifier une attaque en temps réel</w:t>
      </w:r>
    </w:p>
    <w:p w14:paraId="5E4C2BF1" w14:textId="77777777" w:rsidR="00D23660" w:rsidRPr="00653024" w:rsidRDefault="00D23660" w:rsidP="00D23660">
      <w:pPr>
        <w:spacing w:before="100" w:beforeAutospacing="1" w:after="150" w:line="240" w:lineRule="auto"/>
        <w:ind w:left="720"/>
        <w:rPr>
          <w:rFonts w:ascii="Arial" w:eastAsia="Times New Roman" w:hAnsi="Arial" w:cs="Arial"/>
          <w:color w:val="162833"/>
          <w:sz w:val="27"/>
          <w:szCs w:val="27"/>
          <w:lang w:val="fr-FR" w:eastAsia="fr-FR"/>
        </w:rPr>
      </w:pPr>
    </w:p>
    <w:p w14:paraId="206A05BF" w14:textId="77777777" w:rsidR="00D23660" w:rsidRPr="00D23660" w:rsidRDefault="00D23660" w:rsidP="00D23660">
      <w:pPr>
        <w:spacing w:after="300" w:line="240" w:lineRule="auto"/>
        <w:rPr>
          <w:rFonts w:ascii="Arial" w:eastAsia="Times New Roman" w:hAnsi="Arial" w:cs="Arial"/>
          <w:color w:val="162833"/>
          <w:sz w:val="24"/>
          <w:szCs w:val="24"/>
          <w:lang w:val="fr-FR" w:eastAsia="fr-FR"/>
        </w:rPr>
      </w:pPr>
      <w:r w:rsidRPr="00D23660">
        <w:rPr>
          <w:rFonts w:ascii="Arial" w:eastAsia="Times New Roman" w:hAnsi="Arial" w:cs="Arial"/>
          <w:b/>
          <w:bCs/>
          <w:color w:val="162833"/>
          <w:sz w:val="24"/>
          <w:szCs w:val="24"/>
          <w:lang w:val="fr-FR" w:eastAsia="fr-FR"/>
        </w:rPr>
        <w:t>Comment y remédier :</w:t>
      </w:r>
    </w:p>
    <w:p w14:paraId="1E6B3CD1" w14:textId="77777777" w:rsidR="00D23660" w:rsidRPr="00D23660" w:rsidRDefault="00D23660" w:rsidP="00D23660">
      <w:pPr>
        <w:numPr>
          <w:ilvl w:val="0"/>
          <w:numId w:val="5"/>
        </w:numPr>
        <w:spacing w:before="100" w:beforeAutospacing="1" w:after="150" w:line="240" w:lineRule="auto"/>
        <w:rPr>
          <w:rFonts w:ascii="Arial" w:eastAsia="Times New Roman" w:hAnsi="Arial" w:cs="Arial"/>
          <w:color w:val="162833"/>
          <w:sz w:val="27"/>
          <w:szCs w:val="27"/>
          <w:lang w:val="fr-FR" w:eastAsia="fr-FR"/>
        </w:rPr>
      </w:pPr>
      <w:r w:rsidRPr="00D23660">
        <w:rPr>
          <w:rFonts w:ascii="Arial" w:eastAsia="Times New Roman" w:hAnsi="Arial" w:cs="Arial"/>
          <w:color w:val="162833"/>
          <w:sz w:val="27"/>
          <w:szCs w:val="27"/>
          <w:lang w:val="fr-FR" w:eastAsia="fr-FR"/>
        </w:rPr>
        <w:t>Mettez en œuvre un processus de contrôle et journalisez tout ce qui concerne la connexion</w:t>
      </w:r>
    </w:p>
    <w:p w14:paraId="1308DBE5" w14:textId="77777777" w:rsidR="00D23660" w:rsidRPr="00D23660" w:rsidRDefault="00D23660" w:rsidP="00D23660">
      <w:pPr>
        <w:numPr>
          <w:ilvl w:val="0"/>
          <w:numId w:val="5"/>
        </w:numPr>
        <w:spacing w:before="100" w:beforeAutospacing="1" w:after="150" w:line="240" w:lineRule="auto"/>
        <w:rPr>
          <w:rFonts w:ascii="Arial" w:eastAsia="Times New Roman" w:hAnsi="Arial" w:cs="Arial"/>
          <w:color w:val="162833"/>
          <w:sz w:val="27"/>
          <w:szCs w:val="27"/>
          <w:lang w:val="fr-FR" w:eastAsia="fr-FR"/>
        </w:rPr>
      </w:pPr>
      <w:r w:rsidRPr="00D23660">
        <w:rPr>
          <w:rFonts w:ascii="Arial" w:eastAsia="Times New Roman" w:hAnsi="Arial" w:cs="Arial"/>
          <w:color w:val="162833"/>
          <w:sz w:val="27"/>
          <w:szCs w:val="27"/>
          <w:lang w:val="fr-FR" w:eastAsia="fr-FR"/>
        </w:rPr>
        <w:lastRenderedPageBreak/>
        <w:t>Conservez les données de journalisation suffisamment longtemps</w:t>
      </w:r>
    </w:p>
    <w:p w14:paraId="55E89BFC" w14:textId="77777777" w:rsidR="00D23660" w:rsidRDefault="00D23660" w:rsidP="00D23660">
      <w:pPr>
        <w:numPr>
          <w:ilvl w:val="0"/>
          <w:numId w:val="5"/>
        </w:numPr>
        <w:spacing w:before="100" w:beforeAutospacing="1" w:after="150" w:line="240" w:lineRule="auto"/>
        <w:rPr>
          <w:rFonts w:ascii="Arial" w:eastAsia="Times New Roman" w:hAnsi="Arial" w:cs="Arial"/>
          <w:color w:val="162833"/>
          <w:sz w:val="27"/>
          <w:szCs w:val="27"/>
          <w:lang w:val="fr-FR" w:eastAsia="fr-FR"/>
        </w:rPr>
      </w:pPr>
      <w:r w:rsidRPr="00D23660">
        <w:rPr>
          <w:rFonts w:ascii="Arial" w:eastAsia="Times New Roman" w:hAnsi="Arial" w:cs="Arial"/>
          <w:color w:val="162833"/>
          <w:sz w:val="27"/>
          <w:szCs w:val="27"/>
          <w:lang w:val="fr-FR" w:eastAsia="fr-FR"/>
        </w:rPr>
        <w:t>Sauvegardez les données dans des formats supportés par les gestionnaires de logs</w:t>
      </w:r>
    </w:p>
    <w:p w14:paraId="3EA3C013" w14:textId="423A5892" w:rsidR="003153C4" w:rsidRDefault="0043023A" w:rsidP="00937D75">
      <w:pPr>
        <w:numPr>
          <w:ilvl w:val="0"/>
          <w:numId w:val="5"/>
        </w:numPr>
        <w:spacing w:before="100" w:beforeAutospacing="1" w:after="150" w:line="240" w:lineRule="auto"/>
        <w:rPr>
          <w:rFonts w:ascii="Arial" w:eastAsia="Times New Roman" w:hAnsi="Arial" w:cs="Arial"/>
          <w:color w:val="162833"/>
          <w:sz w:val="27"/>
          <w:szCs w:val="27"/>
          <w:lang w:val="fr-FR" w:eastAsia="fr-FR"/>
        </w:rPr>
      </w:pPr>
      <w:r>
        <w:rPr>
          <w:rFonts w:ascii="Arial" w:eastAsia="Times New Roman" w:hAnsi="Arial" w:cs="Arial"/>
          <w:color w:val="162833"/>
          <w:sz w:val="27"/>
          <w:szCs w:val="27"/>
          <w:lang w:val="fr-FR" w:eastAsia="fr-FR"/>
        </w:rPr>
        <w:t xml:space="preserve">Faciliter l’accès </w:t>
      </w:r>
      <w:r w:rsidRPr="0043023A">
        <w:rPr>
          <w:rFonts w:ascii="Arial" w:eastAsia="Times New Roman" w:hAnsi="Arial" w:cs="Arial"/>
          <w:color w:val="162833"/>
          <w:sz w:val="27"/>
          <w:szCs w:val="27"/>
          <w:lang w:val="fr-FR" w:eastAsia="fr-FR"/>
        </w:rPr>
        <w:t>aux log</w:t>
      </w:r>
      <w:r>
        <w:rPr>
          <w:rFonts w:ascii="Arial" w:eastAsia="Times New Roman" w:hAnsi="Arial" w:cs="Arial"/>
          <w:color w:val="162833"/>
          <w:sz w:val="27"/>
          <w:szCs w:val="27"/>
          <w:lang w:val="fr-FR" w:eastAsia="fr-FR"/>
        </w:rPr>
        <w:t>s en centralisant les journaux</w:t>
      </w:r>
      <w:r w:rsidR="000A12FE">
        <w:rPr>
          <w:rFonts w:ascii="Arial" w:eastAsia="Times New Roman" w:hAnsi="Arial" w:cs="Arial"/>
          <w:color w:val="162833"/>
          <w:sz w:val="27"/>
          <w:szCs w:val="27"/>
          <w:lang w:val="fr-FR" w:eastAsia="fr-FR"/>
        </w:rPr>
        <w:t xml:space="preserve"> afin </w:t>
      </w:r>
      <w:r w:rsidR="000A12FE" w:rsidRPr="000A12FE">
        <w:rPr>
          <w:rFonts w:ascii="Arial" w:eastAsia="Times New Roman" w:hAnsi="Arial" w:cs="Arial"/>
          <w:color w:val="162833"/>
          <w:sz w:val="27"/>
          <w:szCs w:val="27"/>
          <w:lang w:val="fr-FR" w:eastAsia="fr-FR"/>
        </w:rPr>
        <w:t xml:space="preserve">d’obtenir une vision complète et globale des performances de </w:t>
      </w:r>
      <w:r w:rsidR="000A12FE">
        <w:rPr>
          <w:rFonts w:ascii="Arial" w:eastAsia="Times New Roman" w:hAnsi="Arial" w:cs="Arial"/>
          <w:color w:val="162833"/>
          <w:sz w:val="27"/>
          <w:szCs w:val="27"/>
          <w:lang w:val="fr-FR" w:eastAsia="fr-FR"/>
        </w:rPr>
        <w:t>l’</w:t>
      </w:r>
      <w:r w:rsidR="000A12FE" w:rsidRPr="000A12FE">
        <w:rPr>
          <w:rFonts w:ascii="Arial" w:eastAsia="Times New Roman" w:hAnsi="Arial" w:cs="Arial"/>
          <w:color w:val="162833"/>
          <w:sz w:val="27"/>
          <w:szCs w:val="27"/>
          <w:lang w:val="fr-FR" w:eastAsia="fr-FR"/>
        </w:rPr>
        <w:t>application.</w:t>
      </w:r>
    </w:p>
    <w:p w14:paraId="7E65F254" w14:textId="3EDE4E84" w:rsidR="00937D75" w:rsidRDefault="00937D75" w:rsidP="00937D75">
      <w:pPr>
        <w:numPr>
          <w:ilvl w:val="0"/>
          <w:numId w:val="5"/>
        </w:numPr>
        <w:spacing w:before="100" w:beforeAutospacing="1" w:after="150" w:line="240" w:lineRule="auto"/>
        <w:rPr>
          <w:rFonts w:ascii="Arial" w:eastAsia="Times New Roman" w:hAnsi="Arial" w:cs="Arial"/>
          <w:color w:val="162833"/>
          <w:sz w:val="27"/>
          <w:szCs w:val="27"/>
          <w:lang w:val="fr-FR" w:eastAsia="fr-FR"/>
        </w:rPr>
      </w:pPr>
      <w:r>
        <w:rPr>
          <w:rFonts w:ascii="Arial" w:eastAsia="Times New Roman" w:hAnsi="Arial" w:cs="Arial"/>
          <w:color w:val="162833"/>
          <w:sz w:val="27"/>
          <w:szCs w:val="27"/>
          <w:lang w:val="fr-FR" w:eastAsia="fr-FR"/>
        </w:rPr>
        <w:t>U</w:t>
      </w:r>
      <w:r w:rsidRPr="00937D75">
        <w:rPr>
          <w:rFonts w:ascii="Arial" w:eastAsia="Times New Roman" w:hAnsi="Arial" w:cs="Arial"/>
          <w:color w:val="162833"/>
          <w:sz w:val="27"/>
          <w:szCs w:val="27"/>
          <w:lang w:val="fr-FR" w:eastAsia="fr-FR"/>
        </w:rPr>
        <w:t>tilise</w:t>
      </w:r>
      <w:r>
        <w:rPr>
          <w:rFonts w:ascii="Arial" w:eastAsia="Times New Roman" w:hAnsi="Arial" w:cs="Arial"/>
          <w:color w:val="162833"/>
          <w:sz w:val="27"/>
          <w:szCs w:val="27"/>
          <w:lang w:val="fr-FR" w:eastAsia="fr-FR"/>
        </w:rPr>
        <w:t>r</w:t>
      </w:r>
      <w:r w:rsidRPr="00937D75">
        <w:rPr>
          <w:rFonts w:ascii="Arial" w:eastAsia="Times New Roman" w:hAnsi="Arial" w:cs="Arial"/>
          <w:color w:val="162833"/>
          <w:sz w:val="27"/>
          <w:szCs w:val="27"/>
          <w:lang w:val="fr-FR" w:eastAsia="fr-FR"/>
        </w:rPr>
        <w:t xml:space="preserve"> un format de log structuré optimal</w:t>
      </w:r>
    </w:p>
    <w:p w14:paraId="42527998" w14:textId="6BB00A76" w:rsidR="00EB4EC2" w:rsidRDefault="00EB4EC2" w:rsidP="00937D75">
      <w:pPr>
        <w:numPr>
          <w:ilvl w:val="0"/>
          <w:numId w:val="5"/>
        </w:numPr>
        <w:spacing w:before="100" w:beforeAutospacing="1" w:after="150" w:line="240" w:lineRule="auto"/>
        <w:rPr>
          <w:rFonts w:ascii="Arial" w:eastAsia="Times New Roman" w:hAnsi="Arial" w:cs="Arial"/>
          <w:color w:val="162833"/>
          <w:sz w:val="27"/>
          <w:szCs w:val="27"/>
          <w:lang w:val="fr-FR" w:eastAsia="fr-FR"/>
        </w:rPr>
      </w:pPr>
      <w:r>
        <w:rPr>
          <w:rFonts w:ascii="Arial" w:eastAsia="Times New Roman" w:hAnsi="Arial" w:cs="Arial"/>
          <w:color w:val="162833"/>
          <w:sz w:val="27"/>
          <w:szCs w:val="27"/>
          <w:lang w:val="fr-FR" w:eastAsia="fr-FR"/>
        </w:rPr>
        <w:t>U</w:t>
      </w:r>
      <w:r w:rsidRPr="00EB4EC2">
        <w:rPr>
          <w:rFonts w:ascii="Arial" w:eastAsia="Times New Roman" w:hAnsi="Arial" w:cs="Arial"/>
          <w:color w:val="162833"/>
          <w:sz w:val="27"/>
          <w:szCs w:val="27"/>
          <w:lang w:val="fr-FR" w:eastAsia="fr-FR"/>
        </w:rPr>
        <w:t>tilise</w:t>
      </w:r>
      <w:r>
        <w:rPr>
          <w:rFonts w:ascii="Arial" w:eastAsia="Times New Roman" w:hAnsi="Arial" w:cs="Arial"/>
          <w:color w:val="162833"/>
          <w:sz w:val="27"/>
          <w:szCs w:val="27"/>
          <w:lang w:val="fr-FR" w:eastAsia="fr-FR"/>
        </w:rPr>
        <w:t>r</w:t>
      </w:r>
      <w:r w:rsidRPr="00EB4EC2">
        <w:rPr>
          <w:rFonts w:ascii="Arial" w:eastAsia="Times New Roman" w:hAnsi="Arial" w:cs="Arial"/>
          <w:color w:val="162833"/>
          <w:sz w:val="27"/>
          <w:szCs w:val="27"/>
          <w:lang w:val="fr-FR" w:eastAsia="fr-FR"/>
        </w:rPr>
        <w:t xml:space="preserve"> des messages de journalisation descriptifs</w:t>
      </w:r>
    </w:p>
    <w:p w14:paraId="68F5A1DE" w14:textId="409C7356" w:rsidR="001C2D39" w:rsidRPr="00937D75" w:rsidRDefault="001C2D39" w:rsidP="00937D75">
      <w:pPr>
        <w:numPr>
          <w:ilvl w:val="0"/>
          <w:numId w:val="5"/>
        </w:numPr>
        <w:spacing w:before="100" w:beforeAutospacing="1" w:after="150" w:line="240" w:lineRule="auto"/>
        <w:rPr>
          <w:rFonts w:ascii="Arial" w:eastAsia="Times New Roman" w:hAnsi="Arial" w:cs="Arial"/>
          <w:color w:val="162833"/>
          <w:sz w:val="27"/>
          <w:szCs w:val="27"/>
          <w:lang w:val="fr-FR" w:eastAsia="fr-FR"/>
        </w:rPr>
      </w:pPr>
      <w:r>
        <w:rPr>
          <w:rFonts w:ascii="Arial" w:eastAsia="Times New Roman" w:hAnsi="Arial" w:cs="Arial"/>
          <w:color w:val="162833"/>
          <w:sz w:val="27"/>
          <w:szCs w:val="27"/>
          <w:lang w:val="fr-FR" w:eastAsia="fr-FR"/>
        </w:rPr>
        <w:t>T</w:t>
      </w:r>
      <w:r w:rsidRPr="001C2D39">
        <w:rPr>
          <w:rFonts w:ascii="Arial" w:eastAsia="Times New Roman" w:hAnsi="Arial" w:cs="Arial"/>
          <w:color w:val="162833"/>
          <w:sz w:val="27"/>
          <w:szCs w:val="27"/>
          <w:lang w:val="fr-FR" w:eastAsia="fr-FR"/>
        </w:rPr>
        <w:t>raite</w:t>
      </w:r>
      <w:r>
        <w:rPr>
          <w:rFonts w:ascii="Arial" w:eastAsia="Times New Roman" w:hAnsi="Arial" w:cs="Arial"/>
          <w:color w:val="162833"/>
          <w:sz w:val="27"/>
          <w:szCs w:val="27"/>
          <w:lang w:val="fr-FR" w:eastAsia="fr-FR"/>
        </w:rPr>
        <w:t>r</w:t>
      </w:r>
      <w:r w:rsidRPr="001C2D39">
        <w:rPr>
          <w:rFonts w:ascii="Arial" w:eastAsia="Times New Roman" w:hAnsi="Arial" w:cs="Arial"/>
          <w:color w:val="162833"/>
          <w:sz w:val="27"/>
          <w:szCs w:val="27"/>
          <w:lang w:val="fr-FR" w:eastAsia="fr-FR"/>
        </w:rPr>
        <w:t xml:space="preserve"> les informations sensibles de manière appropriée</w:t>
      </w:r>
    </w:p>
    <w:p w14:paraId="65DF7135" w14:textId="77777777" w:rsidR="00D34535" w:rsidRDefault="00D34535" w:rsidP="001B3224"/>
    <w:p w14:paraId="55C0CC34" w14:textId="58C5548D" w:rsidR="001B3224" w:rsidRDefault="001B3224" w:rsidP="001B3224">
      <w:pPr>
        <w:pStyle w:val="Titre2"/>
      </w:pPr>
      <w:r>
        <w:t>Références :</w:t>
      </w:r>
    </w:p>
    <w:p w14:paraId="36CA4A9D" w14:textId="7DADCB99" w:rsidR="6B66282F" w:rsidRDefault="6B66282F" w:rsidP="6B66282F"/>
    <w:p w14:paraId="0F68B687" w14:textId="0A10F1EF" w:rsidR="00477B8A" w:rsidRDefault="00477B8A" w:rsidP="6B66282F">
      <w:r w:rsidRPr="00477B8A">
        <w:rPr>
          <w:highlight w:val="yellow"/>
        </w:rPr>
        <w:t xml:space="preserve">[Placer ici l’ensemble des références que vous avez utilisé selon les normes APA. Voir : </w:t>
      </w:r>
      <w:hyperlink r:id="rId13" w:history="1">
        <w:r w:rsidRPr="00477B8A">
          <w:rPr>
            <w:rStyle w:val="Lienhypertexte"/>
            <w:highlight w:val="yellow"/>
          </w:rPr>
          <w:t>https://mondiapason.ca/fichiers/OutilBibliographique/index_APA.php</w:t>
        </w:r>
      </w:hyperlink>
      <w:r w:rsidRPr="00477B8A">
        <w:rPr>
          <w:highlight w:val="yellow"/>
        </w:rPr>
        <w:t>].</w:t>
      </w:r>
    </w:p>
    <w:p w14:paraId="77F1CF69" w14:textId="77777777" w:rsidR="00653024" w:rsidRDefault="00653024" w:rsidP="6B66282F"/>
    <w:p w14:paraId="5D884AD6" w14:textId="461D2DD5" w:rsidR="00653024" w:rsidRDefault="00000000" w:rsidP="6B66282F">
      <w:hyperlink r:id="rId14" w:anchor="9" w:history="1">
        <w:r w:rsidR="00DC3FAE">
          <w:rPr>
            <w:rStyle w:val="Lienhypertexte"/>
          </w:rPr>
          <w:t xml:space="preserve">OWASP Top 10 : les plus grosses failles de sécurité des applications web - </w:t>
        </w:r>
        <w:proofErr w:type="spellStart"/>
        <w:r w:rsidR="00DC3FAE">
          <w:rPr>
            <w:rStyle w:val="Lienhypertexte"/>
          </w:rPr>
          <w:t>Digicomp</w:t>
        </w:r>
        <w:proofErr w:type="spellEnd"/>
        <w:r w:rsidR="00DC3FAE">
          <w:rPr>
            <w:rStyle w:val="Lienhypertexte"/>
          </w:rPr>
          <w:t xml:space="preserve"> Blog</w:t>
        </w:r>
      </w:hyperlink>
    </w:p>
    <w:p w14:paraId="78C808BF" w14:textId="32F0FFB6" w:rsidR="00B175F9" w:rsidRDefault="00000000" w:rsidP="6B66282F">
      <w:hyperlink r:id="rId15" w:history="1">
        <w:r w:rsidR="00B175F9">
          <w:rPr>
            <w:rStyle w:val="Lienhypertexte"/>
          </w:rPr>
          <w:t xml:space="preserve">Bonnes pratiques de journalisation - </w:t>
        </w:r>
        <w:proofErr w:type="spellStart"/>
        <w:r w:rsidR="00B175F9">
          <w:rPr>
            <w:rStyle w:val="Lienhypertexte"/>
          </w:rPr>
          <w:t>CrowdStrike</w:t>
        </w:r>
        <w:proofErr w:type="spellEnd"/>
      </w:hyperlink>
    </w:p>
    <w:sectPr w:rsidR="00B175F9" w:rsidSect="00A114C5">
      <w:headerReference w:type="default" r:id="rId16"/>
      <w:footerReference w:type="default" r:id="rId17"/>
      <w:pgSz w:w="12240" w:h="15840"/>
      <w:pgMar w:top="709"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2F62F" w14:textId="77777777" w:rsidR="00A114C5" w:rsidRDefault="00A114C5" w:rsidP="00DB12DF">
      <w:pPr>
        <w:spacing w:after="0" w:line="240" w:lineRule="auto"/>
      </w:pPr>
      <w:r>
        <w:separator/>
      </w:r>
    </w:p>
  </w:endnote>
  <w:endnote w:type="continuationSeparator" w:id="0">
    <w:p w14:paraId="551F7607" w14:textId="77777777" w:rsidR="00A114C5" w:rsidRDefault="00A114C5" w:rsidP="00DB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673195"/>
      <w:docPartObj>
        <w:docPartGallery w:val="Page Numbers (Bottom of Page)"/>
        <w:docPartUnique/>
      </w:docPartObj>
    </w:sdtPr>
    <w:sdtContent>
      <w:p w14:paraId="1ECFF2B6" w14:textId="7A5CC8DE" w:rsidR="00DB12DF" w:rsidRDefault="00DB12DF">
        <w:pPr>
          <w:pStyle w:val="Pieddepage"/>
          <w:jc w:val="right"/>
        </w:pPr>
        <w:r>
          <w:fldChar w:fldCharType="begin"/>
        </w:r>
        <w:r>
          <w:instrText>PAGE   \* MERGEFORMAT</w:instrText>
        </w:r>
        <w:r>
          <w:fldChar w:fldCharType="separate"/>
        </w:r>
        <w:r w:rsidR="004421F1" w:rsidRPr="004421F1">
          <w:rPr>
            <w:noProof/>
            <w:lang w:val="fr-FR"/>
          </w:rPr>
          <w:t>1</w:t>
        </w:r>
        <w:r>
          <w:fldChar w:fldCharType="end"/>
        </w:r>
      </w:p>
    </w:sdtContent>
  </w:sdt>
  <w:p w14:paraId="3610D0F6" w14:textId="6106E785" w:rsidR="00DB12DF" w:rsidRDefault="00DB12D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AB87E" w14:textId="77777777" w:rsidR="00A114C5" w:rsidRDefault="00A114C5" w:rsidP="00DB12DF">
      <w:pPr>
        <w:spacing w:after="0" w:line="240" w:lineRule="auto"/>
      </w:pPr>
      <w:r>
        <w:separator/>
      </w:r>
    </w:p>
  </w:footnote>
  <w:footnote w:type="continuationSeparator" w:id="0">
    <w:p w14:paraId="6838F267" w14:textId="77777777" w:rsidR="00A114C5" w:rsidRDefault="00A114C5" w:rsidP="00DB1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46B67" w14:textId="3A56ED4E" w:rsidR="00DB12DF" w:rsidRDefault="00801510" w:rsidP="007201CF">
    <w:pPr>
      <w:pStyle w:val="En-tte"/>
      <w:jc w:val="center"/>
    </w:pPr>
    <w:r>
      <w:t>420-</w:t>
    </w:r>
    <w:r w:rsidR="00AC0841">
      <w:t>6B6</w:t>
    </w:r>
    <w:r>
      <w:t>-LI Sécurité des applications</w:t>
    </w:r>
    <w:r w:rsidR="007201CF">
      <w:tab/>
    </w:r>
    <w:r w:rsidR="007201CF">
      <w:tab/>
      <w:t>H202</w:t>
    </w:r>
    <w:r w:rsidR="00AC0841">
      <w:t>4</w:t>
    </w:r>
  </w:p>
</w:hdr>
</file>

<file path=word/intelligence.xml><?xml version="1.0" encoding="utf-8"?>
<int:Intelligence xmlns:int="http://schemas.microsoft.com/office/intelligence/2019/intelligence">
  <int:IntelligenceSettings/>
  <int:Manifest>
    <int:ParagraphRange paragraphId="2014616255" textId="1430171836" start="79" length="10" invalidationStart="79" invalidationLength="10" id="qrqWVybS"/>
    <int:ParagraphRange paragraphId="255556772" textId="1759578504" start="62" length="11" invalidationStart="62" invalidationLength="11" id="KaEmZ8pd"/>
  </int:Manifest>
  <int:Observations>
    <int:Content id="qrqWVybS">
      <int:Rejection type="LegacyProofing"/>
    </int:Content>
    <int:Content id="KaEmZ8pd">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6E21"/>
    <w:multiLevelType w:val="multilevel"/>
    <w:tmpl w:val="9160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464AE"/>
    <w:multiLevelType w:val="multilevel"/>
    <w:tmpl w:val="48BA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42615"/>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996C19"/>
    <w:multiLevelType w:val="multilevel"/>
    <w:tmpl w:val="0C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C191848"/>
    <w:multiLevelType w:val="hybridMultilevel"/>
    <w:tmpl w:val="6CDA831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7E473813"/>
    <w:multiLevelType w:val="hybridMultilevel"/>
    <w:tmpl w:val="E378F43C"/>
    <w:lvl w:ilvl="0" w:tplc="2B468950">
      <w:start w:val="1"/>
      <w:numFmt w:val="bullet"/>
      <w:lvlText w:val="•"/>
      <w:lvlJc w:val="left"/>
      <w:pPr>
        <w:ind w:left="13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62BF98">
      <w:start w:val="1"/>
      <w:numFmt w:val="bullet"/>
      <w:lvlText w:val="o"/>
      <w:lvlJc w:val="left"/>
      <w:pPr>
        <w:ind w:left="20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E4F244">
      <w:start w:val="1"/>
      <w:numFmt w:val="bullet"/>
      <w:lvlText w:val="▪"/>
      <w:lvlJc w:val="left"/>
      <w:pPr>
        <w:ind w:left="27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C96FF22">
      <w:start w:val="1"/>
      <w:numFmt w:val="bullet"/>
      <w:lvlText w:val="•"/>
      <w:lvlJc w:val="left"/>
      <w:pPr>
        <w:ind w:left="34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3427E6">
      <w:start w:val="1"/>
      <w:numFmt w:val="bullet"/>
      <w:lvlText w:val="o"/>
      <w:lvlJc w:val="left"/>
      <w:pPr>
        <w:ind w:left="41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7C2216">
      <w:start w:val="1"/>
      <w:numFmt w:val="bullet"/>
      <w:lvlText w:val="▪"/>
      <w:lvlJc w:val="left"/>
      <w:pPr>
        <w:ind w:left="48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86444A">
      <w:start w:val="1"/>
      <w:numFmt w:val="bullet"/>
      <w:lvlText w:val="•"/>
      <w:lvlJc w:val="left"/>
      <w:pPr>
        <w:ind w:left="56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CE7EA0">
      <w:start w:val="1"/>
      <w:numFmt w:val="bullet"/>
      <w:lvlText w:val="o"/>
      <w:lvlJc w:val="left"/>
      <w:pPr>
        <w:ind w:left="63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BC9648">
      <w:start w:val="1"/>
      <w:numFmt w:val="bullet"/>
      <w:lvlText w:val="▪"/>
      <w:lvlJc w:val="left"/>
      <w:pPr>
        <w:ind w:left="70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752896178">
    <w:abstractNumId w:val="3"/>
  </w:num>
  <w:num w:numId="2" w16cid:durableId="1864778838">
    <w:abstractNumId w:val="2"/>
  </w:num>
  <w:num w:numId="3" w16cid:durableId="146216541">
    <w:abstractNumId w:val="5"/>
  </w:num>
  <w:num w:numId="4" w16cid:durableId="877667394">
    <w:abstractNumId w:val="0"/>
  </w:num>
  <w:num w:numId="5" w16cid:durableId="1461878479">
    <w:abstractNumId w:val="1"/>
  </w:num>
  <w:num w:numId="6" w16cid:durableId="1366365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CA" w:vendorID="64" w:dllVersion="6" w:nlCheck="1" w:checkStyle="0"/>
  <w:activeWritingStyle w:appName="MSWord" w:lang="fr-CA" w:vendorID="64" w:dllVersion="0"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48B"/>
    <w:rsid w:val="00035BEA"/>
    <w:rsid w:val="00067347"/>
    <w:rsid w:val="000A12FE"/>
    <w:rsid w:val="001204C6"/>
    <w:rsid w:val="00130AD9"/>
    <w:rsid w:val="00184E43"/>
    <w:rsid w:val="001B3224"/>
    <w:rsid w:val="001C2D39"/>
    <w:rsid w:val="00212BE8"/>
    <w:rsid w:val="00224884"/>
    <w:rsid w:val="003153C4"/>
    <w:rsid w:val="00341983"/>
    <w:rsid w:val="00352D35"/>
    <w:rsid w:val="003B469E"/>
    <w:rsid w:val="003C77FC"/>
    <w:rsid w:val="003F0C30"/>
    <w:rsid w:val="0040283E"/>
    <w:rsid w:val="0043023A"/>
    <w:rsid w:val="004421F1"/>
    <w:rsid w:val="00477B8A"/>
    <w:rsid w:val="005C396B"/>
    <w:rsid w:val="00641E68"/>
    <w:rsid w:val="00653024"/>
    <w:rsid w:val="00662B0C"/>
    <w:rsid w:val="006F0FD0"/>
    <w:rsid w:val="00706C26"/>
    <w:rsid w:val="007201CF"/>
    <w:rsid w:val="0072036E"/>
    <w:rsid w:val="007677C9"/>
    <w:rsid w:val="007763A1"/>
    <w:rsid w:val="00781301"/>
    <w:rsid w:val="0079482A"/>
    <w:rsid w:val="00801510"/>
    <w:rsid w:val="008927DD"/>
    <w:rsid w:val="009118E3"/>
    <w:rsid w:val="00937D75"/>
    <w:rsid w:val="00993215"/>
    <w:rsid w:val="009D3679"/>
    <w:rsid w:val="00A114C5"/>
    <w:rsid w:val="00A66E12"/>
    <w:rsid w:val="00AB206C"/>
    <w:rsid w:val="00AC0841"/>
    <w:rsid w:val="00AC3C29"/>
    <w:rsid w:val="00AF52F1"/>
    <w:rsid w:val="00B175F9"/>
    <w:rsid w:val="00B40C92"/>
    <w:rsid w:val="00B43A2D"/>
    <w:rsid w:val="00B77AB5"/>
    <w:rsid w:val="00BC0AF0"/>
    <w:rsid w:val="00BC0DB9"/>
    <w:rsid w:val="00BD1BE8"/>
    <w:rsid w:val="00BE7439"/>
    <w:rsid w:val="00C478DD"/>
    <w:rsid w:val="00C47F62"/>
    <w:rsid w:val="00C8548B"/>
    <w:rsid w:val="00CE2B09"/>
    <w:rsid w:val="00D04EB4"/>
    <w:rsid w:val="00D23660"/>
    <w:rsid w:val="00D34535"/>
    <w:rsid w:val="00DB12DF"/>
    <w:rsid w:val="00DC3FAE"/>
    <w:rsid w:val="00DE1083"/>
    <w:rsid w:val="00E5602C"/>
    <w:rsid w:val="00EB4EC2"/>
    <w:rsid w:val="00EF7F99"/>
    <w:rsid w:val="00F308A6"/>
    <w:rsid w:val="00F474DB"/>
    <w:rsid w:val="00FB22E5"/>
    <w:rsid w:val="00FD3CF2"/>
    <w:rsid w:val="00FD6BE8"/>
    <w:rsid w:val="017E745E"/>
    <w:rsid w:val="0438925B"/>
    <w:rsid w:val="04476F52"/>
    <w:rsid w:val="05BE5AFC"/>
    <w:rsid w:val="0792A051"/>
    <w:rsid w:val="08F2DB21"/>
    <w:rsid w:val="0935AC49"/>
    <w:rsid w:val="09DE4BE7"/>
    <w:rsid w:val="0E14F626"/>
    <w:rsid w:val="18A775D6"/>
    <w:rsid w:val="22B033E7"/>
    <w:rsid w:val="22C80C74"/>
    <w:rsid w:val="23F793CA"/>
    <w:rsid w:val="246C3787"/>
    <w:rsid w:val="24CC495E"/>
    <w:rsid w:val="279F9D5D"/>
    <w:rsid w:val="2AA9B83F"/>
    <w:rsid w:val="2AD2D4BE"/>
    <w:rsid w:val="2BAEB609"/>
    <w:rsid w:val="2C3E6525"/>
    <w:rsid w:val="3311BA80"/>
    <w:rsid w:val="381293C0"/>
    <w:rsid w:val="385A81FC"/>
    <w:rsid w:val="3889B562"/>
    <w:rsid w:val="3A40F54D"/>
    <w:rsid w:val="3EBA65BB"/>
    <w:rsid w:val="42E1B86B"/>
    <w:rsid w:val="441576BC"/>
    <w:rsid w:val="49C1BF70"/>
    <w:rsid w:val="4BFB1666"/>
    <w:rsid w:val="4EC68433"/>
    <w:rsid w:val="4F66D7E7"/>
    <w:rsid w:val="51D8B89C"/>
    <w:rsid w:val="5247038D"/>
    <w:rsid w:val="5411F348"/>
    <w:rsid w:val="559B44AE"/>
    <w:rsid w:val="575A8D4E"/>
    <w:rsid w:val="5781910C"/>
    <w:rsid w:val="5A32DB58"/>
    <w:rsid w:val="5C3BD9D2"/>
    <w:rsid w:val="634CA766"/>
    <w:rsid w:val="673BFE02"/>
    <w:rsid w:val="68FAB82B"/>
    <w:rsid w:val="6B66282F"/>
    <w:rsid w:val="6BB0E6F5"/>
    <w:rsid w:val="6DC467E3"/>
    <w:rsid w:val="6DF5BB83"/>
    <w:rsid w:val="6F918BE4"/>
    <w:rsid w:val="704D122A"/>
    <w:rsid w:val="752802D7"/>
    <w:rsid w:val="78021CC0"/>
    <w:rsid w:val="786F4AD9"/>
    <w:rsid w:val="790FD15E"/>
    <w:rsid w:val="799DED21"/>
    <w:rsid w:val="7A89C28E"/>
    <w:rsid w:val="7B39BD82"/>
    <w:rsid w:val="7DE30FB0"/>
    <w:rsid w:val="7FF4064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CDF9E"/>
  <w15:chartTrackingRefBased/>
  <w15:docId w15:val="{B9CB559B-5205-4C9A-A3AF-EB304AF4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C85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37D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8548B"/>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C8548B"/>
    <w:rPr>
      <w:rFonts w:eastAsiaTheme="minorEastAsia"/>
      <w:lang w:eastAsia="fr-CA"/>
    </w:rPr>
  </w:style>
  <w:style w:type="character" w:customStyle="1" w:styleId="Titre2Car">
    <w:name w:val="Titre 2 Car"/>
    <w:basedOn w:val="Policepardfaut"/>
    <w:link w:val="Titre2"/>
    <w:uiPriority w:val="9"/>
    <w:rsid w:val="00C8548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927DD"/>
    <w:pPr>
      <w:ind w:left="720"/>
      <w:contextualSpacing/>
    </w:pPr>
  </w:style>
  <w:style w:type="character" w:styleId="Lienhypertexte">
    <w:name w:val="Hyperlink"/>
    <w:basedOn w:val="Policepardfaut"/>
    <w:uiPriority w:val="99"/>
    <w:unhideWhenUsed/>
    <w:rsid w:val="00130AD9"/>
    <w:rPr>
      <w:color w:val="0563C1" w:themeColor="hyperlink"/>
      <w:u w:val="single"/>
    </w:rPr>
  </w:style>
  <w:style w:type="character" w:customStyle="1" w:styleId="Mentionnonrsolue1">
    <w:name w:val="Mention non résolue1"/>
    <w:basedOn w:val="Policepardfaut"/>
    <w:uiPriority w:val="99"/>
    <w:semiHidden/>
    <w:unhideWhenUsed/>
    <w:rsid w:val="00130AD9"/>
    <w:rPr>
      <w:color w:val="605E5C"/>
      <w:shd w:val="clear" w:color="auto" w:fill="E1DFDD"/>
    </w:rPr>
  </w:style>
  <w:style w:type="character" w:styleId="Lienhypertextesuivivisit">
    <w:name w:val="FollowedHyperlink"/>
    <w:basedOn w:val="Policepardfaut"/>
    <w:uiPriority w:val="99"/>
    <w:semiHidden/>
    <w:unhideWhenUsed/>
    <w:rsid w:val="00352D35"/>
    <w:rPr>
      <w:color w:val="954F72" w:themeColor="followedHyperlink"/>
      <w:u w:val="single"/>
    </w:rPr>
  </w:style>
  <w:style w:type="paragraph" w:styleId="En-tte">
    <w:name w:val="header"/>
    <w:basedOn w:val="Normal"/>
    <w:link w:val="En-tteCar"/>
    <w:uiPriority w:val="99"/>
    <w:unhideWhenUsed/>
    <w:rsid w:val="00DB12DF"/>
    <w:pPr>
      <w:tabs>
        <w:tab w:val="center" w:pos="4320"/>
        <w:tab w:val="right" w:pos="8640"/>
      </w:tabs>
      <w:spacing w:after="0" w:line="240" w:lineRule="auto"/>
    </w:pPr>
  </w:style>
  <w:style w:type="character" w:customStyle="1" w:styleId="En-tteCar">
    <w:name w:val="En-tête Car"/>
    <w:basedOn w:val="Policepardfaut"/>
    <w:link w:val="En-tte"/>
    <w:uiPriority w:val="99"/>
    <w:rsid w:val="00DB12DF"/>
  </w:style>
  <w:style w:type="paragraph" w:styleId="Pieddepage">
    <w:name w:val="footer"/>
    <w:basedOn w:val="Normal"/>
    <w:link w:val="PieddepageCar"/>
    <w:uiPriority w:val="99"/>
    <w:unhideWhenUsed/>
    <w:rsid w:val="00DB12D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B12DF"/>
  </w:style>
  <w:style w:type="paragraph" w:styleId="NormalWeb">
    <w:name w:val="Normal (Web)"/>
    <w:basedOn w:val="Normal"/>
    <w:uiPriority w:val="99"/>
    <w:semiHidden/>
    <w:unhideWhenUsed/>
    <w:rsid w:val="0065302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653024"/>
    <w:rPr>
      <w:b/>
      <w:bCs/>
    </w:rPr>
  </w:style>
  <w:style w:type="character" w:customStyle="1" w:styleId="Titre3Car">
    <w:name w:val="Titre 3 Car"/>
    <w:basedOn w:val="Policepardfaut"/>
    <w:link w:val="Titre3"/>
    <w:uiPriority w:val="9"/>
    <w:semiHidden/>
    <w:rsid w:val="00937D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1012">
      <w:bodyDiv w:val="1"/>
      <w:marLeft w:val="0"/>
      <w:marRight w:val="0"/>
      <w:marTop w:val="0"/>
      <w:marBottom w:val="0"/>
      <w:divBdr>
        <w:top w:val="none" w:sz="0" w:space="0" w:color="auto"/>
        <w:left w:val="none" w:sz="0" w:space="0" w:color="auto"/>
        <w:bottom w:val="none" w:sz="0" w:space="0" w:color="auto"/>
        <w:right w:val="none" w:sz="0" w:space="0" w:color="auto"/>
      </w:divBdr>
    </w:div>
    <w:div w:id="299846460">
      <w:bodyDiv w:val="1"/>
      <w:marLeft w:val="0"/>
      <w:marRight w:val="0"/>
      <w:marTop w:val="0"/>
      <w:marBottom w:val="0"/>
      <w:divBdr>
        <w:top w:val="none" w:sz="0" w:space="0" w:color="auto"/>
        <w:left w:val="none" w:sz="0" w:space="0" w:color="auto"/>
        <w:bottom w:val="none" w:sz="0" w:space="0" w:color="auto"/>
        <w:right w:val="none" w:sz="0" w:space="0" w:color="auto"/>
      </w:divBdr>
    </w:div>
    <w:div w:id="579216947">
      <w:bodyDiv w:val="1"/>
      <w:marLeft w:val="0"/>
      <w:marRight w:val="0"/>
      <w:marTop w:val="0"/>
      <w:marBottom w:val="0"/>
      <w:divBdr>
        <w:top w:val="none" w:sz="0" w:space="0" w:color="auto"/>
        <w:left w:val="none" w:sz="0" w:space="0" w:color="auto"/>
        <w:bottom w:val="none" w:sz="0" w:space="0" w:color="auto"/>
        <w:right w:val="none" w:sz="0" w:space="0" w:color="auto"/>
      </w:divBdr>
    </w:div>
    <w:div w:id="950435373">
      <w:bodyDiv w:val="1"/>
      <w:marLeft w:val="0"/>
      <w:marRight w:val="0"/>
      <w:marTop w:val="0"/>
      <w:marBottom w:val="0"/>
      <w:divBdr>
        <w:top w:val="none" w:sz="0" w:space="0" w:color="auto"/>
        <w:left w:val="none" w:sz="0" w:space="0" w:color="auto"/>
        <w:bottom w:val="none" w:sz="0" w:space="0" w:color="auto"/>
        <w:right w:val="none" w:sz="0" w:space="0" w:color="auto"/>
      </w:divBdr>
    </w:div>
    <w:div w:id="1091851005">
      <w:bodyDiv w:val="1"/>
      <w:marLeft w:val="0"/>
      <w:marRight w:val="0"/>
      <w:marTop w:val="0"/>
      <w:marBottom w:val="0"/>
      <w:divBdr>
        <w:top w:val="none" w:sz="0" w:space="0" w:color="auto"/>
        <w:left w:val="none" w:sz="0" w:space="0" w:color="auto"/>
        <w:bottom w:val="none" w:sz="0" w:space="0" w:color="auto"/>
        <w:right w:val="none" w:sz="0" w:space="0" w:color="auto"/>
      </w:divBdr>
    </w:div>
    <w:div w:id="1638366891">
      <w:bodyDiv w:val="1"/>
      <w:marLeft w:val="0"/>
      <w:marRight w:val="0"/>
      <w:marTop w:val="0"/>
      <w:marBottom w:val="0"/>
      <w:divBdr>
        <w:top w:val="none" w:sz="0" w:space="0" w:color="auto"/>
        <w:left w:val="none" w:sz="0" w:space="0" w:color="auto"/>
        <w:bottom w:val="none" w:sz="0" w:space="0" w:color="auto"/>
        <w:right w:val="none" w:sz="0" w:space="0" w:color="auto"/>
      </w:divBdr>
    </w:div>
    <w:div w:id="173685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ondiapason.ca/fichiers/OutilBibliographique/index_APA.ph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oter" Target="footer1.xml"/><Relationship Id="Rdb77b1e0f1974d7f"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crowdstrike.fr/cybersecurity-101/observability/logging-best-practices/"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digicomp.ch/blognews/2022/11/29/owasp-top-10-failles-securitaires-applications-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2021-11-11T00:00:00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A13B8F853C1954A966AED084872A48C" ma:contentTypeVersion="14" ma:contentTypeDescription="Crée un document." ma:contentTypeScope="" ma:versionID="023c8988785900d185ce1e4e405dc859">
  <xsd:schema xmlns:xsd="http://www.w3.org/2001/XMLSchema" xmlns:xs="http://www.w3.org/2001/XMLSchema" xmlns:p="http://schemas.microsoft.com/office/2006/metadata/properties" xmlns:ns3="36c00739-3491-4a9d-b6ce-1a17534623bc" xmlns:ns4="e2d2f5d9-690f-48ff-b9e3-6ad0f06c8d88" targetNamespace="http://schemas.microsoft.com/office/2006/metadata/properties" ma:root="true" ma:fieldsID="4f9ba06e0c6d39d1c0dc4a9bae581f52" ns3:_="" ns4:_="">
    <xsd:import namespace="36c00739-3491-4a9d-b6ce-1a17534623bc"/>
    <xsd:import namespace="e2d2f5d9-690f-48ff-b9e3-6ad0f06c8d8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c00739-3491-4a9d-b6ce-1a17534623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d2f5d9-690f-48ff-b9e3-6ad0f06c8d88"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28BC64-7128-4F2D-9CD5-51F19B48FD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58DB60-1B79-4482-A40D-991632D42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00739-3491-4a9d-b6ce-1a17534623bc"/>
    <ds:schemaRef ds:uri="e2d2f5d9-690f-48ff-b9e3-6ad0f06c8d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6C6CB6-84A2-4A3A-A28B-4DFEA19255A2}">
  <ds:schemaRefs>
    <ds:schemaRef ds:uri="http://schemas.openxmlformats.org/officeDocument/2006/bibliography"/>
  </ds:schemaRefs>
</ds:datastoreItem>
</file>

<file path=customXml/itemProps5.xml><?xml version="1.0" encoding="utf-8"?>
<ds:datastoreItem xmlns:ds="http://schemas.openxmlformats.org/officeDocument/2006/customXml" ds:itemID="{96378A82-C02C-4798-AF63-46B09389CC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454</Words>
  <Characters>2498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TP1-Plan_de_formation_gabarit</vt:lpstr>
    </vt:vector>
  </TitlesOfParts>
  <Company>Soutien technique et formation</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TP1-Plan_de_formation_gabarit</dc:title>
  <dc:subject>TP5</dc:subject>
  <dc:creator>Antoine Fortier</dc:creator>
  <cp:keywords/>
  <dc:description/>
  <cp:lastModifiedBy>Antoine Fortier</cp:lastModifiedBy>
  <cp:revision>16</cp:revision>
  <dcterms:created xsi:type="dcterms:W3CDTF">2024-04-03T14:36:00Z</dcterms:created>
  <dcterms:modified xsi:type="dcterms:W3CDTF">2024-04-03T15:14:00Z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0x0101002A13B8F853C1954A966AED084872A48C</vt:lpwstr>
  </property>
</Properties>
</file>