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6622BADB" w14:textId="59E5AAD6" w:rsidR="008A25B3" w:rsidDel="00593871" w:rsidRDefault="008A25B3" w:rsidP="003274A5">
            <w:pPr>
              <w:pStyle w:val="JAMKOpinnytekuvailulehti"/>
              <w:rPr>
                <w:del w:id="0" w:author="Author"/>
                <w:sz w:val="22"/>
                <w:szCs w:val="22"/>
              </w:rPr>
            </w:pPr>
            <w:r>
              <w:rPr>
                <w:sz w:val="22"/>
                <w:szCs w:val="22"/>
              </w:rPr>
              <w:t>Vesa</w:t>
            </w:r>
            <w:r w:rsidR="00593871">
              <w:rPr>
                <w:sz w:val="22"/>
                <w:szCs w:val="22"/>
              </w:rPr>
              <w:t xml:space="preserve">, Pinja, </w:t>
            </w:r>
            <w:r>
              <w:rPr>
                <w:sz w:val="22"/>
                <w:szCs w:val="22"/>
              </w:rPr>
              <w:t>Pauli</w:t>
            </w:r>
            <w:r w:rsidR="00593871">
              <w:rPr>
                <w:sz w:val="22"/>
                <w:szCs w:val="22"/>
              </w:rPr>
              <w:t xml:space="preserve">, Otso, </w:t>
            </w:r>
          </w:p>
          <w:p w14:paraId="12A1D0FF" w14:textId="1F1DBC12" w:rsidR="008A25B3" w:rsidDel="00593871" w:rsidRDefault="008A25B3" w:rsidP="003274A5">
            <w:pPr>
              <w:pStyle w:val="JAMKOpinnytekuvailulehti"/>
              <w:rPr>
                <w:del w:id="1" w:author="Author"/>
                <w:sz w:val="22"/>
                <w:szCs w:val="22"/>
              </w:rPr>
            </w:pPr>
          </w:p>
          <w:p w14:paraId="0831641E" w14:textId="35037EF8" w:rsidR="00593871" w:rsidRPr="00593871" w:rsidRDefault="00593871" w:rsidP="00593871">
            <w:pPr>
              <w:pStyle w:val="JAMKOpinnytekuvailulehti"/>
              <w:rPr>
                <w:sz w:val="22"/>
                <w:szCs w:val="22"/>
              </w:rPr>
            </w:pPr>
            <w:r>
              <w:rPr>
                <w:sz w:val="22"/>
                <w:szCs w:val="22"/>
              </w:rPr>
              <w:t xml:space="preserve">Petri, </w:t>
            </w:r>
            <w:r w:rsidR="008A25B3" w:rsidRPr="008A25B3">
              <w:rPr>
                <w:sz w:val="22"/>
                <w:szCs w:val="22"/>
              </w:rPr>
              <w:t>Teemu</w:t>
            </w:r>
            <w:r>
              <w:rPr>
                <w:sz w:val="22"/>
                <w:szCs w:val="22"/>
              </w:rPr>
              <w:t>,</w:t>
            </w:r>
            <w:r w:rsidR="008A25B3" w:rsidRPr="008A25B3">
              <w:rPr>
                <w:sz w:val="22"/>
                <w:szCs w:val="22"/>
              </w:rPr>
              <w:t xml:space="preserve"> </w:t>
            </w:r>
            <w:r w:rsidR="008A25B3">
              <w:rPr>
                <w:sz w:val="22"/>
                <w:szCs w:val="22"/>
              </w:rPr>
              <w:t>Jouni</w:t>
            </w:r>
            <w:r>
              <w:rPr>
                <w:sz w:val="22"/>
                <w:szCs w:val="22"/>
              </w:rPr>
              <w:t>,</w:t>
            </w:r>
            <w:r w:rsidR="008A25B3">
              <w:rPr>
                <w:sz w:val="22"/>
                <w:szCs w:val="22"/>
              </w:rPr>
              <w:t xml:space="preserve"> </w:t>
            </w:r>
            <w:r>
              <w:rPr>
                <w:sz w:val="22"/>
                <w:szCs w:val="22"/>
              </w:rPr>
              <w:t>Janne &amp; Jani</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7A3A1B"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7A3A1B"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7A3A1B"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7A3A1B"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84435E">
              <w:fldChar w:fldCharType="begin"/>
            </w:r>
            <w:r w:rsidR="0084435E">
              <w:instrText xml:space="preserve"> HYPERLINK "https://janet.finna.fi/Search/Results?lookfor=asiasanastot&amp;prefiltered=format_Database&amp;SearchForm_submit=Find&amp;retainFilters=0&amp;filter%5b%5d=format%3A%220%2FDatabase%2F%22&amp;lng=en-gb" </w:instrText>
            </w:r>
            <w:r w:rsidR="0084435E">
              <w:fldChar w:fldCharType="separate"/>
            </w:r>
            <w:r w:rsidRPr="00C36C9A">
              <w:rPr>
                <w:rStyle w:val="Hyperlink"/>
              </w:rPr>
              <w:t>subjects</w:t>
            </w:r>
            <w:proofErr w:type="spellEnd"/>
            <w:r w:rsidR="0084435E">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558E17B6" w14:textId="77777777" w:rsidR="00917044" w:rsidRDefault="00B47CF7">
      <w:pPr>
        <w:pStyle w:val="TOC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13508" w:history="1">
        <w:r w:rsidR="00917044" w:rsidRPr="007D792D">
          <w:rPr>
            <w:rStyle w:val="Hyperlink"/>
          </w:rPr>
          <w:t>1</w:t>
        </w:r>
        <w:r w:rsidR="00917044">
          <w:rPr>
            <w:rFonts w:asciiTheme="minorHAnsi" w:eastAsiaTheme="minorEastAsia" w:hAnsiTheme="minorHAnsi" w:cstheme="minorBidi"/>
            <w:b w:val="0"/>
            <w:sz w:val="22"/>
            <w:szCs w:val="22"/>
          </w:rPr>
          <w:tab/>
        </w:r>
        <w:r w:rsidR="00917044" w:rsidRPr="007D792D">
          <w:rPr>
            <w:rStyle w:val="Hyperlink"/>
          </w:rPr>
          <w:t>Introduction</w:t>
        </w:r>
        <w:r w:rsidR="00917044">
          <w:rPr>
            <w:webHidden/>
          </w:rPr>
          <w:tab/>
        </w:r>
        <w:r w:rsidR="00917044">
          <w:rPr>
            <w:webHidden/>
          </w:rPr>
          <w:fldChar w:fldCharType="begin"/>
        </w:r>
        <w:r w:rsidR="00917044">
          <w:rPr>
            <w:webHidden/>
          </w:rPr>
          <w:instrText xml:space="preserve"> PAGEREF _Toc503113508 \h </w:instrText>
        </w:r>
        <w:r w:rsidR="00917044">
          <w:rPr>
            <w:webHidden/>
          </w:rPr>
        </w:r>
        <w:r w:rsidR="00917044">
          <w:rPr>
            <w:webHidden/>
          </w:rPr>
          <w:fldChar w:fldCharType="separate"/>
        </w:r>
        <w:r w:rsidR="00917044">
          <w:rPr>
            <w:webHidden/>
          </w:rPr>
          <w:t>1</w:t>
        </w:r>
        <w:r w:rsidR="00917044">
          <w:rPr>
            <w:webHidden/>
          </w:rPr>
          <w:fldChar w:fldCharType="end"/>
        </w:r>
      </w:hyperlink>
    </w:p>
    <w:p w14:paraId="473083F3" w14:textId="77777777" w:rsidR="00917044" w:rsidRDefault="00917044">
      <w:pPr>
        <w:pStyle w:val="TOC1"/>
        <w:rPr>
          <w:rFonts w:asciiTheme="minorHAnsi" w:eastAsiaTheme="minorEastAsia" w:hAnsiTheme="minorHAnsi" w:cstheme="minorBidi"/>
          <w:b w:val="0"/>
          <w:sz w:val="22"/>
          <w:szCs w:val="22"/>
        </w:rPr>
      </w:pPr>
      <w:hyperlink w:anchor="_Toc503113509" w:history="1">
        <w:r w:rsidRPr="007D792D">
          <w:rPr>
            <w:rStyle w:val="Hyperlink"/>
          </w:rPr>
          <w:t>2</w:t>
        </w:r>
        <w:r>
          <w:rPr>
            <w:rFonts w:asciiTheme="minorHAnsi" w:eastAsiaTheme="minorEastAsia" w:hAnsiTheme="minorHAnsi" w:cstheme="minorBidi"/>
            <w:b w:val="0"/>
            <w:sz w:val="22"/>
            <w:szCs w:val="22"/>
          </w:rPr>
          <w:tab/>
        </w:r>
        <w:r w:rsidRPr="007D792D">
          <w:rPr>
            <w:rStyle w:val="Hyperlink"/>
          </w:rPr>
          <w:t>Target organization</w:t>
        </w:r>
        <w:r>
          <w:rPr>
            <w:webHidden/>
          </w:rPr>
          <w:tab/>
        </w:r>
        <w:r>
          <w:rPr>
            <w:webHidden/>
          </w:rPr>
          <w:fldChar w:fldCharType="begin"/>
        </w:r>
        <w:r>
          <w:rPr>
            <w:webHidden/>
          </w:rPr>
          <w:instrText xml:space="preserve"> PAGEREF _Toc503113509 \h </w:instrText>
        </w:r>
        <w:r>
          <w:rPr>
            <w:webHidden/>
          </w:rPr>
        </w:r>
        <w:r>
          <w:rPr>
            <w:webHidden/>
          </w:rPr>
          <w:fldChar w:fldCharType="separate"/>
        </w:r>
        <w:r>
          <w:rPr>
            <w:webHidden/>
          </w:rPr>
          <w:t>1</w:t>
        </w:r>
        <w:r>
          <w:rPr>
            <w:webHidden/>
          </w:rPr>
          <w:fldChar w:fldCharType="end"/>
        </w:r>
      </w:hyperlink>
    </w:p>
    <w:p w14:paraId="2B42CB29" w14:textId="77777777" w:rsidR="00917044" w:rsidRDefault="00917044">
      <w:pPr>
        <w:pStyle w:val="TOC1"/>
        <w:rPr>
          <w:rFonts w:asciiTheme="minorHAnsi" w:eastAsiaTheme="minorEastAsia" w:hAnsiTheme="minorHAnsi" w:cstheme="minorBidi"/>
          <w:b w:val="0"/>
          <w:sz w:val="22"/>
          <w:szCs w:val="22"/>
        </w:rPr>
      </w:pPr>
      <w:hyperlink w:anchor="_Toc503113510" w:history="1">
        <w:r w:rsidRPr="007D792D">
          <w:rPr>
            <w:rStyle w:val="Hyperlink"/>
          </w:rPr>
          <w:t>3</w:t>
        </w:r>
        <w:r>
          <w:rPr>
            <w:rFonts w:asciiTheme="minorHAnsi" w:eastAsiaTheme="minorEastAsia" w:hAnsiTheme="minorHAnsi" w:cstheme="minorBidi"/>
            <w:b w:val="0"/>
            <w:sz w:val="22"/>
            <w:szCs w:val="22"/>
          </w:rPr>
          <w:tab/>
        </w:r>
        <w:r w:rsidRPr="007D792D">
          <w:rPr>
            <w:rStyle w:val="Hyperlink"/>
          </w:rPr>
          <w:t>Scope of the audit</w:t>
        </w:r>
        <w:r>
          <w:rPr>
            <w:webHidden/>
          </w:rPr>
          <w:tab/>
        </w:r>
        <w:r>
          <w:rPr>
            <w:webHidden/>
          </w:rPr>
          <w:fldChar w:fldCharType="begin"/>
        </w:r>
        <w:r>
          <w:rPr>
            <w:webHidden/>
          </w:rPr>
          <w:instrText xml:space="preserve"> PAGEREF _Toc503113510 \h </w:instrText>
        </w:r>
        <w:r>
          <w:rPr>
            <w:webHidden/>
          </w:rPr>
        </w:r>
        <w:r>
          <w:rPr>
            <w:webHidden/>
          </w:rPr>
          <w:fldChar w:fldCharType="separate"/>
        </w:r>
        <w:r>
          <w:rPr>
            <w:webHidden/>
          </w:rPr>
          <w:t>1</w:t>
        </w:r>
        <w:r>
          <w:rPr>
            <w:webHidden/>
          </w:rPr>
          <w:fldChar w:fldCharType="end"/>
        </w:r>
      </w:hyperlink>
    </w:p>
    <w:p w14:paraId="3C789B1E" w14:textId="77777777" w:rsidR="00917044" w:rsidRDefault="00917044">
      <w:pPr>
        <w:pStyle w:val="TOC1"/>
        <w:rPr>
          <w:rFonts w:asciiTheme="minorHAnsi" w:eastAsiaTheme="minorEastAsia" w:hAnsiTheme="minorHAnsi" w:cstheme="minorBidi"/>
          <w:b w:val="0"/>
          <w:sz w:val="22"/>
          <w:szCs w:val="22"/>
        </w:rPr>
      </w:pPr>
      <w:hyperlink w:anchor="_Toc503113511" w:history="1">
        <w:r w:rsidRPr="007D792D">
          <w:rPr>
            <w:rStyle w:val="Hyperlink"/>
          </w:rPr>
          <w:t>4</w:t>
        </w:r>
        <w:r>
          <w:rPr>
            <w:rFonts w:asciiTheme="minorHAnsi" w:eastAsiaTheme="minorEastAsia" w:hAnsiTheme="minorHAnsi" w:cstheme="minorBidi"/>
            <w:b w:val="0"/>
            <w:sz w:val="22"/>
            <w:szCs w:val="22"/>
          </w:rPr>
          <w:tab/>
        </w:r>
        <w:r w:rsidRPr="007D792D">
          <w:rPr>
            <w:rStyle w:val="Hyperlink"/>
          </w:rPr>
          <w:t>Audit activities</w:t>
        </w:r>
        <w:r>
          <w:rPr>
            <w:webHidden/>
          </w:rPr>
          <w:tab/>
        </w:r>
        <w:r>
          <w:rPr>
            <w:webHidden/>
          </w:rPr>
          <w:fldChar w:fldCharType="begin"/>
        </w:r>
        <w:r>
          <w:rPr>
            <w:webHidden/>
          </w:rPr>
          <w:instrText xml:space="preserve"> PAGEREF _Toc503113511 \h </w:instrText>
        </w:r>
        <w:r>
          <w:rPr>
            <w:webHidden/>
          </w:rPr>
        </w:r>
        <w:r>
          <w:rPr>
            <w:webHidden/>
          </w:rPr>
          <w:fldChar w:fldCharType="separate"/>
        </w:r>
        <w:r>
          <w:rPr>
            <w:webHidden/>
          </w:rPr>
          <w:t>2</w:t>
        </w:r>
        <w:r>
          <w:rPr>
            <w:webHidden/>
          </w:rPr>
          <w:fldChar w:fldCharType="end"/>
        </w:r>
      </w:hyperlink>
    </w:p>
    <w:p w14:paraId="79E3A2B7" w14:textId="77777777" w:rsidR="00917044" w:rsidRDefault="00917044">
      <w:pPr>
        <w:pStyle w:val="TOC2"/>
        <w:rPr>
          <w:rFonts w:asciiTheme="minorHAnsi" w:eastAsiaTheme="minorEastAsia" w:hAnsiTheme="minorHAnsi" w:cstheme="minorBidi"/>
          <w:sz w:val="22"/>
          <w:lang w:val="en-US"/>
        </w:rPr>
      </w:pPr>
      <w:hyperlink w:anchor="_Toc503113512" w:history="1">
        <w:r w:rsidRPr="007D792D">
          <w:rPr>
            <w:rStyle w:val="Hyperlink"/>
            <w:lang w:val="en-US"/>
          </w:rPr>
          <w:t>4.1</w:t>
        </w:r>
        <w:r>
          <w:rPr>
            <w:rFonts w:asciiTheme="minorHAnsi" w:eastAsiaTheme="minorEastAsia" w:hAnsiTheme="minorHAnsi" w:cstheme="minorBidi"/>
            <w:sz w:val="22"/>
            <w:lang w:val="en-US"/>
          </w:rPr>
          <w:tab/>
        </w:r>
        <w:r w:rsidRPr="007D792D">
          <w:rPr>
            <w:rStyle w:val="Hyperlink"/>
            <w:lang w:val="en-US"/>
          </w:rPr>
          <w:t>Publicly available networks (DMZ, etc.)</w:t>
        </w:r>
        <w:r>
          <w:rPr>
            <w:webHidden/>
          </w:rPr>
          <w:tab/>
        </w:r>
        <w:r>
          <w:rPr>
            <w:webHidden/>
          </w:rPr>
          <w:fldChar w:fldCharType="begin"/>
        </w:r>
        <w:r>
          <w:rPr>
            <w:webHidden/>
          </w:rPr>
          <w:instrText xml:space="preserve"> PAGEREF _Toc503113512 \h </w:instrText>
        </w:r>
        <w:r>
          <w:rPr>
            <w:webHidden/>
          </w:rPr>
        </w:r>
        <w:r>
          <w:rPr>
            <w:webHidden/>
          </w:rPr>
          <w:fldChar w:fldCharType="separate"/>
        </w:r>
        <w:r>
          <w:rPr>
            <w:webHidden/>
          </w:rPr>
          <w:t>2</w:t>
        </w:r>
        <w:r>
          <w:rPr>
            <w:webHidden/>
          </w:rPr>
          <w:fldChar w:fldCharType="end"/>
        </w:r>
      </w:hyperlink>
    </w:p>
    <w:p w14:paraId="2CE63800" w14:textId="77777777" w:rsidR="00917044" w:rsidRDefault="00917044">
      <w:pPr>
        <w:pStyle w:val="TOC2"/>
        <w:rPr>
          <w:rFonts w:asciiTheme="minorHAnsi" w:eastAsiaTheme="minorEastAsia" w:hAnsiTheme="minorHAnsi" w:cstheme="minorBidi"/>
          <w:sz w:val="22"/>
          <w:lang w:val="en-US"/>
        </w:rPr>
      </w:pPr>
      <w:hyperlink w:anchor="_Toc503113513" w:history="1">
        <w:r w:rsidRPr="007D792D">
          <w:rPr>
            <w:rStyle w:val="Hyperlink"/>
            <w:lang w:val="en-US"/>
          </w:rPr>
          <w:t>4.2</w:t>
        </w:r>
        <w:r>
          <w:rPr>
            <w:rFonts w:asciiTheme="minorHAnsi" w:eastAsiaTheme="minorEastAsia" w:hAnsiTheme="minorHAnsi" w:cstheme="minorBidi"/>
            <w:sz w:val="22"/>
            <w:lang w:val="en-US"/>
          </w:rPr>
          <w:tab/>
        </w:r>
        <w:r w:rsidRPr="007D792D">
          <w:rPr>
            <w:rStyle w:val="Hyperlink"/>
            <w:lang w:val="en-US"/>
          </w:rPr>
          <w:t>Workstation network and WEB testing (Internal and branch)</w:t>
        </w:r>
        <w:r>
          <w:rPr>
            <w:webHidden/>
          </w:rPr>
          <w:tab/>
        </w:r>
        <w:r>
          <w:rPr>
            <w:webHidden/>
          </w:rPr>
          <w:fldChar w:fldCharType="begin"/>
        </w:r>
        <w:r>
          <w:rPr>
            <w:webHidden/>
          </w:rPr>
          <w:instrText xml:space="preserve"> PAGEREF _Toc503113513 \h </w:instrText>
        </w:r>
        <w:r>
          <w:rPr>
            <w:webHidden/>
          </w:rPr>
        </w:r>
        <w:r>
          <w:rPr>
            <w:webHidden/>
          </w:rPr>
          <w:fldChar w:fldCharType="separate"/>
        </w:r>
        <w:r>
          <w:rPr>
            <w:webHidden/>
          </w:rPr>
          <w:t>3</w:t>
        </w:r>
        <w:r>
          <w:rPr>
            <w:webHidden/>
          </w:rPr>
          <w:fldChar w:fldCharType="end"/>
        </w:r>
      </w:hyperlink>
    </w:p>
    <w:p w14:paraId="16FF12AC" w14:textId="77777777" w:rsidR="00917044" w:rsidRDefault="00917044">
      <w:pPr>
        <w:pStyle w:val="TOC2"/>
        <w:rPr>
          <w:rFonts w:asciiTheme="minorHAnsi" w:eastAsiaTheme="minorEastAsia" w:hAnsiTheme="minorHAnsi" w:cstheme="minorBidi"/>
          <w:sz w:val="22"/>
          <w:lang w:val="en-US"/>
        </w:rPr>
      </w:pPr>
      <w:hyperlink w:anchor="_Toc503113514" w:history="1">
        <w:r w:rsidRPr="007D792D">
          <w:rPr>
            <w:rStyle w:val="Hyperlink"/>
            <w:lang w:val="en-US"/>
          </w:rPr>
          <w:t>4.3</w:t>
        </w:r>
        <w:r>
          <w:rPr>
            <w:rFonts w:asciiTheme="minorHAnsi" w:eastAsiaTheme="minorEastAsia" w:hAnsiTheme="minorHAnsi" w:cstheme="minorBidi"/>
            <w:sz w:val="22"/>
            <w:lang w:val="en-US"/>
          </w:rPr>
          <w:tab/>
        </w:r>
        <w:r w:rsidRPr="007D792D">
          <w:rPr>
            <w:rStyle w:val="Hyperlink"/>
            <w:lang w:val="en-US"/>
          </w:rPr>
          <w:t>Management networks (MGMT, warehouse and staff)</w:t>
        </w:r>
        <w:r>
          <w:rPr>
            <w:webHidden/>
          </w:rPr>
          <w:tab/>
        </w:r>
        <w:r>
          <w:rPr>
            <w:webHidden/>
          </w:rPr>
          <w:fldChar w:fldCharType="begin"/>
        </w:r>
        <w:r>
          <w:rPr>
            <w:webHidden/>
          </w:rPr>
          <w:instrText xml:space="preserve"> PAGEREF _Toc503113514 \h </w:instrText>
        </w:r>
        <w:r>
          <w:rPr>
            <w:webHidden/>
          </w:rPr>
        </w:r>
        <w:r>
          <w:rPr>
            <w:webHidden/>
          </w:rPr>
          <w:fldChar w:fldCharType="separate"/>
        </w:r>
        <w:r>
          <w:rPr>
            <w:webHidden/>
          </w:rPr>
          <w:t>4</w:t>
        </w:r>
        <w:r>
          <w:rPr>
            <w:webHidden/>
          </w:rPr>
          <w:fldChar w:fldCharType="end"/>
        </w:r>
      </w:hyperlink>
    </w:p>
    <w:p w14:paraId="527C0C93" w14:textId="77777777" w:rsidR="00917044" w:rsidRDefault="00917044">
      <w:pPr>
        <w:pStyle w:val="TOC1"/>
        <w:rPr>
          <w:rFonts w:asciiTheme="minorHAnsi" w:eastAsiaTheme="minorEastAsia" w:hAnsiTheme="minorHAnsi" w:cstheme="minorBidi"/>
          <w:b w:val="0"/>
          <w:sz w:val="22"/>
          <w:szCs w:val="22"/>
        </w:rPr>
      </w:pPr>
      <w:hyperlink w:anchor="_Toc503113515" w:history="1">
        <w:r w:rsidRPr="007D792D">
          <w:rPr>
            <w:rStyle w:val="Hyperlink"/>
          </w:rPr>
          <w:t>5</w:t>
        </w:r>
        <w:r>
          <w:rPr>
            <w:rFonts w:asciiTheme="minorHAnsi" w:eastAsiaTheme="minorEastAsia" w:hAnsiTheme="minorHAnsi" w:cstheme="minorBidi"/>
            <w:b w:val="0"/>
            <w:sz w:val="22"/>
            <w:szCs w:val="22"/>
          </w:rPr>
          <w:tab/>
        </w:r>
        <w:r w:rsidRPr="007D792D">
          <w:rPr>
            <w:rStyle w:val="Hyperlink"/>
          </w:rPr>
          <w:t>Main findings</w:t>
        </w:r>
        <w:r>
          <w:rPr>
            <w:webHidden/>
          </w:rPr>
          <w:tab/>
        </w:r>
        <w:r>
          <w:rPr>
            <w:webHidden/>
          </w:rPr>
          <w:fldChar w:fldCharType="begin"/>
        </w:r>
        <w:r>
          <w:rPr>
            <w:webHidden/>
          </w:rPr>
          <w:instrText xml:space="preserve"> PAGEREF _Toc503113515 \h </w:instrText>
        </w:r>
        <w:r>
          <w:rPr>
            <w:webHidden/>
          </w:rPr>
        </w:r>
        <w:r>
          <w:rPr>
            <w:webHidden/>
          </w:rPr>
          <w:fldChar w:fldCharType="separate"/>
        </w:r>
        <w:r>
          <w:rPr>
            <w:webHidden/>
          </w:rPr>
          <w:t>4</w:t>
        </w:r>
        <w:r>
          <w:rPr>
            <w:webHidden/>
          </w:rPr>
          <w:fldChar w:fldCharType="end"/>
        </w:r>
      </w:hyperlink>
    </w:p>
    <w:p w14:paraId="7BFB572A" w14:textId="77777777" w:rsidR="00917044" w:rsidRDefault="00917044">
      <w:pPr>
        <w:pStyle w:val="TOC2"/>
        <w:rPr>
          <w:rFonts w:asciiTheme="minorHAnsi" w:eastAsiaTheme="minorEastAsia" w:hAnsiTheme="minorHAnsi" w:cstheme="minorBidi"/>
          <w:sz w:val="22"/>
          <w:lang w:val="en-US"/>
        </w:rPr>
      </w:pPr>
      <w:hyperlink w:anchor="_Toc503113516" w:history="1">
        <w:r w:rsidRPr="007D792D">
          <w:rPr>
            <w:rStyle w:val="Hyperlink"/>
            <w:lang w:val="en-US"/>
          </w:rPr>
          <w:t>5.1</w:t>
        </w:r>
        <w:r>
          <w:rPr>
            <w:rFonts w:asciiTheme="minorHAnsi" w:eastAsiaTheme="minorEastAsia" w:hAnsiTheme="minorHAnsi" w:cstheme="minorBidi"/>
            <w:sz w:val="22"/>
            <w:lang w:val="en-US"/>
          </w:rPr>
          <w:tab/>
        </w:r>
        <w:r w:rsidRPr="007D792D">
          <w:rPr>
            <w:rStyle w:val="Hyperlink"/>
            <w:lang w:val="en-US"/>
          </w:rPr>
          <w:t>Publicly available networks (DMZ, etc.)</w:t>
        </w:r>
        <w:r>
          <w:rPr>
            <w:webHidden/>
          </w:rPr>
          <w:tab/>
        </w:r>
        <w:r>
          <w:rPr>
            <w:webHidden/>
          </w:rPr>
          <w:fldChar w:fldCharType="begin"/>
        </w:r>
        <w:r>
          <w:rPr>
            <w:webHidden/>
          </w:rPr>
          <w:instrText xml:space="preserve"> PAGEREF _Toc503113516 \h </w:instrText>
        </w:r>
        <w:r>
          <w:rPr>
            <w:webHidden/>
          </w:rPr>
        </w:r>
        <w:r>
          <w:rPr>
            <w:webHidden/>
          </w:rPr>
          <w:fldChar w:fldCharType="separate"/>
        </w:r>
        <w:r>
          <w:rPr>
            <w:webHidden/>
          </w:rPr>
          <w:t>4</w:t>
        </w:r>
        <w:r>
          <w:rPr>
            <w:webHidden/>
          </w:rPr>
          <w:fldChar w:fldCharType="end"/>
        </w:r>
      </w:hyperlink>
    </w:p>
    <w:p w14:paraId="744BD872" w14:textId="77777777" w:rsidR="00917044" w:rsidRDefault="00917044">
      <w:pPr>
        <w:pStyle w:val="TOC2"/>
        <w:rPr>
          <w:rFonts w:asciiTheme="minorHAnsi" w:eastAsiaTheme="minorEastAsia" w:hAnsiTheme="minorHAnsi" w:cstheme="minorBidi"/>
          <w:sz w:val="22"/>
          <w:lang w:val="en-US"/>
        </w:rPr>
      </w:pPr>
      <w:hyperlink w:anchor="_Toc503113517" w:history="1">
        <w:r w:rsidRPr="007D792D">
          <w:rPr>
            <w:rStyle w:val="Hyperlink"/>
            <w:lang w:val="en-US"/>
          </w:rPr>
          <w:t>5.2</w:t>
        </w:r>
        <w:r>
          <w:rPr>
            <w:rFonts w:asciiTheme="minorHAnsi" w:eastAsiaTheme="minorEastAsia" w:hAnsiTheme="minorHAnsi" w:cstheme="minorBidi"/>
            <w:sz w:val="22"/>
            <w:lang w:val="en-US"/>
          </w:rPr>
          <w:tab/>
        </w:r>
        <w:r w:rsidRPr="007D792D">
          <w:rPr>
            <w:rStyle w:val="Hyperlink"/>
            <w:lang w:val="en-US"/>
          </w:rPr>
          <w:t>Workstation network (Internal and branch)</w:t>
        </w:r>
        <w:r>
          <w:rPr>
            <w:webHidden/>
          </w:rPr>
          <w:tab/>
        </w:r>
        <w:r>
          <w:rPr>
            <w:webHidden/>
          </w:rPr>
          <w:fldChar w:fldCharType="begin"/>
        </w:r>
        <w:r>
          <w:rPr>
            <w:webHidden/>
          </w:rPr>
          <w:instrText xml:space="preserve"> PAGEREF _Toc503113517 \h </w:instrText>
        </w:r>
        <w:r>
          <w:rPr>
            <w:webHidden/>
          </w:rPr>
        </w:r>
        <w:r>
          <w:rPr>
            <w:webHidden/>
          </w:rPr>
          <w:fldChar w:fldCharType="separate"/>
        </w:r>
        <w:r>
          <w:rPr>
            <w:webHidden/>
          </w:rPr>
          <w:t>5</w:t>
        </w:r>
        <w:r>
          <w:rPr>
            <w:webHidden/>
          </w:rPr>
          <w:fldChar w:fldCharType="end"/>
        </w:r>
      </w:hyperlink>
    </w:p>
    <w:p w14:paraId="1CBB86BA" w14:textId="77777777" w:rsidR="00917044" w:rsidRDefault="00917044">
      <w:pPr>
        <w:pStyle w:val="TOC2"/>
        <w:rPr>
          <w:rFonts w:asciiTheme="minorHAnsi" w:eastAsiaTheme="minorEastAsia" w:hAnsiTheme="minorHAnsi" w:cstheme="minorBidi"/>
          <w:sz w:val="22"/>
          <w:lang w:val="en-US"/>
        </w:rPr>
      </w:pPr>
      <w:hyperlink w:anchor="_Toc503113518" w:history="1">
        <w:r w:rsidRPr="007D792D">
          <w:rPr>
            <w:rStyle w:val="Hyperlink"/>
            <w:lang w:val="en-US"/>
          </w:rPr>
          <w:t>5.3</w:t>
        </w:r>
        <w:r>
          <w:rPr>
            <w:rFonts w:asciiTheme="minorHAnsi" w:eastAsiaTheme="minorEastAsia" w:hAnsiTheme="minorHAnsi" w:cstheme="minorBidi"/>
            <w:sz w:val="22"/>
            <w:lang w:val="en-US"/>
          </w:rPr>
          <w:tab/>
        </w:r>
        <w:r w:rsidRPr="007D792D">
          <w:rPr>
            <w:rStyle w:val="Hyperlink"/>
            <w:lang w:val="en-US"/>
          </w:rPr>
          <w:t>Management networks (MGMT, warehouse and staff)</w:t>
        </w:r>
        <w:r>
          <w:rPr>
            <w:webHidden/>
          </w:rPr>
          <w:tab/>
        </w:r>
        <w:r>
          <w:rPr>
            <w:webHidden/>
          </w:rPr>
          <w:fldChar w:fldCharType="begin"/>
        </w:r>
        <w:r>
          <w:rPr>
            <w:webHidden/>
          </w:rPr>
          <w:instrText xml:space="preserve"> PAGEREF _Toc503113518 \h </w:instrText>
        </w:r>
        <w:r>
          <w:rPr>
            <w:webHidden/>
          </w:rPr>
        </w:r>
        <w:r>
          <w:rPr>
            <w:webHidden/>
          </w:rPr>
          <w:fldChar w:fldCharType="separate"/>
        </w:r>
        <w:r>
          <w:rPr>
            <w:webHidden/>
          </w:rPr>
          <w:t>5</w:t>
        </w:r>
        <w:r>
          <w:rPr>
            <w:webHidden/>
          </w:rPr>
          <w:fldChar w:fldCharType="end"/>
        </w:r>
      </w:hyperlink>
    </w:p>
    <w:p w14:paraId="612C440B" w14:textId="77777777" w:rsidR="00917044" w:rsidRDefault="00917044">
      <w:pPr>
        <w:pStyle w:val="TOC1"/>
        <w:rPr>
          <w:rFonts w:asciiTheme="minorHAnsi" w:eastAsiaTheme="minorEastAsia" w:hAnsiTheme="minorHAnsi" w:cstheme="minorBidi"/>
          <w:b w:val="0"/>
          <w:sz w:val="22"/>
          <w:szCs w:val="22"/>
        </w:rPr>
      </w:pPr>
      <w:hyperlink w:anchor="_Toc503113519" w:history="1">
        <w:r w:rsidRPr="007D792D">
          <w:rPr>
            <w:rStyle w:val="Hyperlink"/>
          </w:rPr>
          <w:t>6</w:t>
        </w:r>
        <w:r>
          <w:rPr>
            <w:rFonts w:asciiTheme="minorHAnsi" w:eastAsiaTheme="minorEastAsia" w:hAnsiTheme="minorHAnsi" w:cstheme="minorBidi"/>
            <w:b w:val="0"/>
            <w:sz w:val="22"/>
            <w:szCs w:val="22"/>
          </w:rPr>
          <w:tab/>
        </w:r>
        <w:r w:rsidRPr="007D792D">
          <w:rPr>
            <w:rStyle w:val="Hyperlink"/>
          </w:rPr>
          <w:t>Recommendations</w:t>
        </w:r>
        <w:r>
          <w:rPr>
            <w:webHidden/>
          </w:rPr>
          <w:tab/>
        </w:r>
        <w:r>
          <w:rPr>
            <w:webHidden/>
          </w:rPr>
          <w:fldChar w:fldCharType="begin"/>
        </w:r>
        <w:r>
          <w:rPr>
            <w:webHidden/>
          </w:rPr>
          <w:instrText xml:space="preserve"> PAGEREF _Toc503113519 \h </w:instrText>
        </w:r>
        <w:r>
          <w:rPr>
            <w:webHidden/>
          </w:rPr>
        </w:r>
        <w:r>
          <w:rPr>
            <w:webHidden/>
          </w:rPr>
          <w:fldChar w:fldCharType="separate"/>
        </w:r>
        <w:r>
          <w:rPr>
            <w:webHidden/>
          </w:rPr>
          <w:t>5</w:t>
        </w:r>
        <w:r>
          <w:rPr>
            <w:webHidden/>
          </w:rPr>
          <w:fldChar w:fldCharType="end"/>
        </w:r>
      </w:hyperlink>
    </w:p>
    <w:p w14:paraId="7A3B35DB" w14:textId="77777777" w:rsidR="00917044" w:rsidRDefault="00917044">
      <w:pPr>
        <w:pStyle w:val="TOC1"/>
        <w:rPr>
          <w:rFonts w:asciiTheme="minorHAnsi" w:eastAsiaTheme="minorEastAsia" w:hAnsiTheme="minorHAnsi" w:cstheme="minorBidi"/>
          <w:b w:val="0"/>
          <w:sz w:val="22"/>
          <w:szCs w:val="22"/>
        </w:rPr>
      </w:pPr>
      <w:hyperlink w:anchor="_Toc503113520" w:history="1">
        <w:r w:rsidRPr="007D792D">
          <w:rPr>
            <w:rStyle w:val="Hyperlink"/>
          </w:rPr>
          <w:t>7</w:t>
        </w:r>
        <w:r>
          <w:rPr>
            <w:rFonts w:asciiTheme="minorHAnsi" w:eastAsiaTheme="minorEastAsia" w:hAnsiTheme="minorHAnsi" w:cstheme="minorBidi"/>
            <w:b w:val="0"/>
            <w:sz w:val="22"/>
            <w:szCs w:val="22"/>
          </w:rPr>
          <w:tab/>
        </w:r>
        <w:r w:rsidRPr="007D792D">
          <w:rPr>
            <w:rStyle w:val="Hyperlink"/>
          </w:rPr>
          <w:t>Detailed Technical Report</w:t>
        </w:r>
        <w:r>
          <w:rPr>
            <w:webHidden/>
          </w:rPr>
          <w:tab/>
        </w:r>
        <w:r>
          <w:rPr>
            <w:webHidden/>
          </w:rPr>
          <w:fldChar w:fldCharType="begin"/>
        </w:r>
        <w:r>
          <w:rPr>
            <w:webHidden/>
          </w:rPr>
          <w:instrText xml:space="preserve"> PAGEREF _Toc503113520 \h </w:instrText>
        </w:r>
        <w:r>
          <w:rPr>
            <w:webHidden/>
          </w:rPr>
        </w:r>
        <w:r>
          <w:rPr>
            <w:webHidden/>
          </w:rPr>
          <w:fldChar w:fldCharType="separate"/>
        </w:r>
        <w:r>
          <w:rPr>
            <w:webHidden/>
          </w:rPr>
          <w:t>6</w:t>
        </w:r>
        <w:r>
          <w:rPr>
            <w:webHidden/>
          </w:rPr>
          <w:fldChar w:fldCharType="end"/>
        </w:r>
      </w:hyperlink>
    </w:p>
    <w:p w14:paraId="4C8E06EC" w14:textId="77777777" w:rsidR="00917044" w:rsidRDefault="00917044">
      <w:pPr>
        <w:pStyle w:val="TOC2"/>
        <w:rPr>
          <w:rFonts w:asciiTheme="minorHAnsi" w:eastAsiaTheme="minorEastAsia" w:hAnsiTheme="minorHAnsi" w:cstheme="minorBidi"/>
          <w:sz w:val="22"/>
          <w:lang w:val="en-US"/>
        </w:rPr>
      </w:pPr>
      <w:hyperlink w:anchor="_Toc503113521" w:history="1">
        <w:r w:rsidRPr="007D792D">
          <w:rPr>
            <w:rStyle w:val="Hyperlink"/>
            <w:lang w:val="en-US"/>
          </w:rPr>
          <w:t>7.1</w:t>
        </w:r>
        <w:r>
          <w:rPr>
            <w:rFonts w:asciiTheme="minorHAnsi" w:eastAsiaTheme="minorEastAsia" w:hAnsiTheme="minorHAnsi" w:cstheme="minorBidi"/>
            <w:sz w:val="22"/>
            <w:lang w:val="en-US"/>
          </w:rPr>
          <w:tab/>
        </w:r>
        <w:r w:rsidRPr="007D792D">
          <w:rPr>
            <w:rStyle w:val="Hyperlink"/>
            <w:lang w:val="en-US"/>
          </w:rPr>
          <w:t>Tooling</w:t>
        </w:r>
        <w:r>
          <w:rPr>
            <w:webHidden/>
          </w:rPr>
          <w:tab/>
        </w:r>
        <w:r>
          <w:rPr>
            <w:webHidden/>
          </w:rPr>
          <w:fldChar w:fldCharType="begin"/>
        </w:r>
        <w:r>
          <w:rPr>
            <w:webHidden/>
          </w:rPr>
          <w:instrText xml:space="preserve"> PAGEREF _Toc503113521 \h </w:instrText>
        </w:r>
        <w:r>
          <w:rPr>
            <w:webHidden/>
          </w:rPr>
        </w:r>
        <w:r>
          <w:rPr>
            <w:webHidden/>
          </w:rPr>
          <w:fldChar w:fldCharType="separate"/>
        </w:r>
        <w:r>
          <w:rPr>
            <w:webHidden/>
          </w:rPr>
          <w:t>6</w:t>
        </w:r>
        <w:r>
          <w:rPr>
            <w:webHidden/>
          </w:rPr>
          <w:fldChar w:fldCharType="end"/>
        </w:r>
      </w:hyperlink>
    </w:p>
    <w:p w14:paraId="7FAC6904" w14:textId="77777777" w:rsidR="00917044" w:rsidRDefault="00917044">
      <w:pPr>
        <w:pStyle w:val="TOC2"/>
        <w:rPr>
          <w:rFonts w:asciiTheme="minorHAnsi" w:eastAsiaTheme="minorEastAsia" w:hAnsiTheme="minorHAnsi" w:cstheme="minorBidi"/>
          <w:sz w:val="22"/>
          <w:lang w:val="en-US"/>
        </w:rPr>
      </w:pPr>
      <w:hyperlink w:anchor="_Toc503113522" w:history="1">
        <w:r w:rsidRPr="007D792D">
          <w:rPr>
            <w:rStyle w:val="Hyperlink"/>
          </w:rPr>
          <w:t>7.2</w:t>
        </w:r>
        <w:r>
          <w:rPr>
            <w:rFonts w:asciiTheme="minorHAnsi" w:eastAsiaTheme="minorEastAsia" w:hAnsiTheme="minorHAnsi" w:cstheme="minorBidi"/>
            <w:sz w:val="22"/>
            <w:lang w:val="en-US"/>
          </w:rPr>
          <w:tab/>
        </w:r>
        <w:r w:rsidRPr="007D792D">
          <w:rPr>
            <w:rStyle w:val="Hyperlink"/>
          </w:rPr>
          <w:t>Executed Test Cases</w:t>
        </w:r>
        <w:r>
          <w:rPr>
            <w:webHidden/>
          </w:rPr>
          <w:tab/>
        </w:r>
        <w:r>
          <w:rPr>
            <w:webHidden/>
          </w:rPr>
          <w:fldChar w:fldCharType="begin"/>
        </w:r>
        <w:r>
          <w:rPr>
            <w:webHidden/>
          </w:rPr>
          <w:instrText xml:space="preserve"> PAGEREF _Toc503113522 \h </w:instrText>
        </w:r>
        <w:r>
          <w:rPr>
            <w:webHidden/>
          </w:rPr>
        </w:r>
        <w:r>
          <w:rPr>
            <w:webHidden/>
          </w:rPr>
          <w:fldChar w:fldCharType="separate"/>
        </w:r>
        <w:r>
          <w:rPr>
            <w:webHidden/>
          </w:rPr>
          <w:t>6</w:t>
        </w:r>
        <w:r>
          <w:rPr>
            <w:webHidden/>
          </w:rPr>
          <w:fldChar w:fldCharType="end"/>
        </w:r>
      </w:hyperlink>
    </w:p>
    <w:p w14:paraId="1445C421" w14:textId="77777777" w:rsidR="00917044" w:rsidRDefault="00917044">
      <w:pPr>
        <w:pStyle w:val="TOC2"/>
        <w:rPr>
          <w:rFonts w:asciiTheme="minorHAnsi" w:eastAsiaTheme="minorEastAsia" w:hAnsiTheme="minorHAnsi" w:cstheme="minorBidi"/>
          <w:sz w:val="22"/>
          <w:lang w:val="en-US"/>
        </w:rPr>
      </w:pPr>
      <w:hyperlink w:anchor="_Toc503113523" w:history="1">
        <w:r w:rsidRPr="007D792D">
          <w:rPr>
            <w:rStyle w:val="Hyperlink"/>
          </w:rPr>
          <w:t>7.3</w:t>
        </w:r>
        <w:r>
          <w:rPr>
            <w:rFonts w:asciiTheme="minorHAnsi" w:eastAsiaTheme="minorEastAsia" w:hAnsiTheme="minorHAnsi" w:cstheme="minorBidi"/>
            <w:sz w:val="22"/>
            <w:lang w:val="en-US"/>
          </w:rPr>
          <w:tab/>
        </w:r>
        <w:r w:rsidRPr="007D792D">
          <w:rPr>
            <w:rStyle w:val="Hyperlink"/>
          </w:rPr>
          <w:t>Vulnerability Summary</w:t>
        </w:r>
        <w:r>
          <w:rPr>
            <w:webHidden/>
          </w:rPr>
          <w:tab/>
        </w:r>
        <w:r>
          <w:rPr>
            <w:webHidden/>
          </w:rPr>
          <w:fldChar w:fldCharType="begin"/>
        </w:r>
        <w:r>
          <w:rPr>
            <w:webHidden/>
          </w:rPr>
          <w:instrText xml:space="preserve"> PAGEREF _Toc503113523 \h </w:instrText>
        </w:r>
        <w:r>
          <w:rPr>
            <w:webHidden/>
          </w:rPr>
        </w:r>
        <w:r>
          <w:rPr>
            <w:webHidden/>
          </w:rPr>
          <w:fldChar w:fldCharType="separate"/>
        </w:r>
        <w:r>
          <w:rPr>
            <w:webHidden/>
          </w:rPr>
          <w:t>7</w:t>
        </w:r>
        <w:r>
          <w:rPr>
            <w:webHidden/>
          </w:rPr>
          <w:fldChar w:fldCharType="end"/>
        </w:r>
      </w:hyperlink>
    </w:p>
    <w:p w14:paraId="5381DB43" w14:textId="77777777" w:rsidR="00917044" w:rsidRDefault="00917044">
      <w:pPr>
        <w:pStyle w:val="TOC2"/>
        <w:rPr>
          <w:rFonts w:asciiTheme="minorHAnsi" w:eastAsiaTheme="minorEastAsia" w:hAnsiTheme="minorHAnsi" w:cstheme="minorBidi"/>
          <w:sz w:val="22"/>
          <w:lang w:val="en-US"/>
        </w:rPr>
      </w:pPr>
      <w:hyperlink w:anchor="_Toc503113524" w:history="1">
        <w:r w:rsidRPr="007D792D">
          <w:rPr>
            <w:rStyle w:val="Hyperlink"/>
            <w:lang w:val="en-US"/>
          </w:rPr>
          <w:t>7.4</w:t>
        </w:r>
        <w:r>
          <w:rPr>
            <w:rFonts w:asciiTheme="minorHAnsi" w:eastAsiaTheme="minorEastAsia" w:hAnsiTheme="minorHAnsi" w:cstheme="minorBidi"/>
            <w:sz w:val="22"/>
            <w:lang w:val="en-US"/>
          </w:rPr>
          <w:tab/>
        </w:r>
        <w:r w:rsidRPr="007D792D">
          <w:rPr>
            <w:rStyle w:val="Hyperlink"/>
            <w:lang w:val="en-US"/>
          </w:rPr>
          <w:t>Vulnerability Details</w:t>
        </w:r>
        <w:r>
          <w:rPr>
            <w:webHidden/>
          </w:rPr>
          <w:tab/>
        </w:r>
        <w:r>
          <w:rPr>
            <w:webHidden/>
          </w:rPr>
          <w:fldChar w:fldCharType="begin"/>
        </w:r>
        <w:r>
          <w:rPr>
            <w:webHidden/>
          </w:rPr>
          <w:instrText xml:space="preserve"> PAGEREF _Toc503113524 \h </w:instrText>
        </w:r>
        <w:r>
          <w:rPr>
            <w:webHidden/>
          </w:rPr>
        </w:r>
        <w:r>
          <w:rPr>
            <w:webHidden/>
          </w:rPr>
          <w:fldChar w:fldCharType="separate"/>
        </w:r>
        <w:r>
          <w:rPr>
            <w:webHidden/>
          </w:rPr>
          <w:t>9</w:t>
        </w:r>
        <w:r>
          <w:rPr>
            <w:webHidden/>
          </w:rPr>
          <w:fldChar w:fldCharType="end"/>
        </w:r>
      </w:hyperlink>
    </w:p>
    <w:p w14:paraId="37C578CD" w14:textId="77777777" w:rsidR="00917044" w:rsidRDefault="00917044">
      <w:pPr>
        <w:pStyle w:val="TOC1"/>
        <w:rPr>
          <w:rFonts w:asciiTheme="minorHAnsi" w:eastAsiaTheme="minorEastAsia" w:hAnsiTheme="minorHAnsi" w:cstheme="minorBidi"/>
          <w:b w:val="0"/>
          <w:sz w:val="22"/>
          <w:szCs w:val="22"/>
        </w:rPr>
      </w:pPr>
      <w:hyperlink w:anchor="_Toc503113525" w:history="1">
        <w:r w:rsidRPr="007D792D">
          <w:rPr>
            <w:rStyle w:val="Hyperlink"/>
          </w:rPr>
          <w:t>8</w:t>
        </w:r>
        <w:r>
          <w:rPr>
            <w:rFonts w:asciiTheme="minorHAnsi" w:eastAsiaTheme="minorEastAsia" w:hAnsiTheme="minorHAnsi" w:cstheme="minorBidi"/>
            <w:b w:val="0"/>
            <w:sz w:val="22"/>
            <w:szCs w:val="22"/>
          </w:rPr>
          <w:tab/>
        </w:r>
        <w:r w:rsidRPr="007D792D">
          <w:rPr>
            <w:rStyle w:val="Hyperlink"/>
          </w:rPr>
          <w:t>Sample Report – Attachments</w:t>
        </w:r>
        <w:r>
          <w:rPr>
            <w:webHidden/>
          </w:rPr>
          <w:tab/>
        </w:r>
        <w:r>
          <w:rPr>
            <w:webHidden/>
          </w:rPr>
          <w:fldChar w:fldCharType="begin"/>
        </w:r>
        <w:r>
          <w:rPr>
            <w:webHidden/>
          </w:rPr>
          <w:instrText xml:space="preserve"> PAGEREF _Toc503113525 \h </w:instrText>
        </w:r>
        <w:r>
          <w:rPr>
            <w:webHidden/>
          </w:rPr>
        </w:r>
        <w:r>
          <w:rPr>
            <w:webHidden/>
          </w:rPr>
          <w:fldChar w:fldCharType="separate"/>
        </w:r>
        <w:r>
          <w:rPr>
            <w:webHidden/>
          </w:rPr>
          <w:t>18</w:t>
        </w:r>
        <w:r>
          <w:rPr>
            <w:webHidden/>
          </w:rPr>
          <w:fldChar w:fldCharType="end"/>
        </w:r>
      </w:hyperlink>
    </w:p>
    <w:p w14:paraId="5DCB98D1" w14:textId="266459FB" w:rsidR="00E45CBD" w:rsidRDefault="00B47CF7" w:rsidP="00253BB6">
      <w:pPr>
        <w:pStyle w:val="Title"/>
      </w:pPr>
      <w:r>
        <w:rPr>
          <w:rFonts w:eastAsiaTheme="majorEastAsia" w:cstheme="majorHAnsi"/>
          <w:noProof/>
          <w:color w:val="auto"/>
          <w:spacing w:val="0"/>
          <w:kern w:val="0"/>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BF4ADA4" w14:textId="77777777" w:rsidR="00917044" w:rsidRDefault="00E45CBD" w:rsidP="00253BB6">
      <w:pPr>
        <w:pStyle w:val="Title"/>
        <w:rPr>
          <w:noProof/>
        </w:rPr>
      </w:pPr>
      <w:r w:rsidRPr="00253BB6">
        <w:t>Tables</w:t>
      </w:r>
      <w:r>
        <w:fldChar w:fldCharType="begin"/>
      </w:r>
      <w:r w:rsidRPr="00E45CBD">
        <w:instrText xml:space="preserve"> TOC \h \z \c "Table" </w:instrText>
      </w:r>
      <w:r>
        <w:fldChar w:fldCharType="separate"/>
      </w:r>
    </w:p>
    <w:p w14:paraId="34B63110"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26" w:history="1">
        <w:r w:rsidRPr="004957BD">
          <w:rPr>
            <w:rStyle w:val="Hyperlink"/>
            <w:noProof/>
            <w:lang w:val="en-US"/>
          </w:rPr>
          <w:t>Table 1 Tools and versions used.</w:t>
        </w:r>
        <w:r>
          <w:rPr>
            <w:noProof/>
            <w:webHidden/>
          </w:rPr>
          <w:tab/>
        </w:r>
        <w:r>
          <w:rPr>
            <w:noProof/>
            <w:webHidden/>
          </w:rPr>
          <w:fldChar w:fldCharType="begin"/>
        </w:r>
        <w:r>
          <w:rPr>
            <w:noProof/>
            <w:webHidden/>
          </w:rPr>
          <w:instrText xml:space="preserve"> PAGEREF _Toc503113526 \h </w:instrText>
        </w:r>
        <w:r>
          <w:rPr>
            <w:noProof/>
            <w:webHidden/>
          </w:rPr>
        </w:r>
        <w:r>
          <w:rPr>
            <w:noProof/>
            <w:webHidden/>
          </w:rPr>
          <w:fldChar w:fldCharType="separate"/>
        </w:r>
        <w:r>
          <w:rPr>
            <w:noProof/>
            <w:webHidden/>
          </w:rPr>
          <w:t>6</w:t>
        </w:r>
        <w:r>
          <w:rPr>
            <w:noProof/>
            <w:webHidden/>
          </w:rPr>
          <w:fldChar w:fldCharType="end"/>
        </w:r>
      </w:hyperlink>
    </w:p>
    <w:p w14:paraId="4C850D66"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27" w:history="1">
        <w:r w:rsidRPr="004957BD">
          <w:rPr>
            <w:rStyle w:val="Hyperlink"/>
            <w:noProof/>
          </w:rPr>
          <w:t>Table 2 Executed test cases</w:t>
        </w:r>
        <w:r>
          <w:rPr>
            <w:noProof/>
            <w:webHidden/>
          </w:rPr>
          <w:tab/>
        </w:r>
        <w:r>
          <w:rPr>
            <w:noProof/>
            <w:webHidden/>
          </w:rPr>
          <w:fldChar w:fldCharType="begin"/>
        </w:r>
        <w:r>
          <w:rPr>
            <w:noProof/>
            <w:webHidden/>
          </w:rPr>
          <w:instrText xml:space="preserve"> PAGEREF _Toc503113527 \h </w:instrText>
        </w:r>
        <w:r>
          <w:rPr>
            <w:noProof/>
            <w:webHidden/>
          </w:rPr>
        </w:r>
        <w:r>
          <w:rPr>
            <w:noProof/>
            <w:webHidden/>
          </w:rPr>
          <w:fldChar w:fldCharType="separate"/>
        </w:r>
        <w:r>
          <w:rPr>
            <w:noProof/>
            <w:webHidden/>
          </w:rPr>
          <w:t>7</w:t>
        </w:r>
        <w:r>
          <w:rPr>
            <w:noProof/>
            <w:webHidden/>
          </w:rPr>
          <w:fldChar w:fldCharType="end"/>
        </w:r>
      </w:hyperlink>
    </w:p>
    <w:p w14:paraId="275FF30C"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28" w:history="1">
        <w:r w:rsidRPr="004957BD">
          <w:rPr>
            <w:rStyle w:val="Hyperlink"/>
            <w:noProof/>
            <w:lang w:val="en-US"/>
          </w:rPr>
          <w:t>Table 3 DMZ internal vulnerabilities summary</w:t>
        </w:r>
        <w:r>
          <w:rPr>
            <w:noProof/>
            <w:webHidden/>
          </w:rPr>
          <w:tab/>
        </w:r>
        <w:r>
          <w:rPr>
            <w:noProof/>
            <w:webHidden/>
          </w:rPr>
          <w:fldChar w:fldCharType="begin"/>
        </w:r>
        <w:r>
          <w:rPr>
            <w:noProof/>
            <w:webHidden/>
          </w:rPr>
          <w:instrText xml:space="preserve"> PAGEREF _Toc503113528 \h </w:instrText>
        </w:r>
        <w:r>
          <w:rPr>
            <w:noProof/>
            <w:webHidden/>
          </w:rPr>
        </w:r>
        <w:r>
          <w:rPr>
            <w:noProof/>
            <w:webHidden/>
          </w:rPr>
          <w:fldChar w:fldCharType="separate"/>
        </w:r>
        <w:r>
          <w:rPr>
            <w:noProof/>
            <w:webHidden/>
          </w:rPr>
          <w:t>7</w:t>
        </w:r>
        <w:r>
          <w:rPr>
            <w:noProof/>
            <w:webHidden/>
          </w:rPr>
          <w:fldChar w:fldCharType="end"/>
        </w:r>
      </w:hyperlink>
    </w:p>
    <w:p w14:paraId="26FBE9E7"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29" w:history="1">
        <w:r w:rsidRPr="004957BD">
          <w:rPr>
            <w:rStyle w:val="Hyperlink"/>
            <w:noProof/>
            <w:lang w:val="en-US"/>
          </w:rPr>
          <w:t>Table 4 DMZ external vulnerabilities summary</w:t>
        </w:r>
        <w:r>
          <w:rPr>
            <w:noProof/>
            <w:webHidden/>
          </w:rPr>
          <w:tab/>
        </w:r>
        <w:r>
          <w:rPr>
            <w:noProof/>
            <w:webHidden/>
          </w:rPr>
          <w:fldChar w:fldCharType="begin"/>
        </w:r>
        <w:r>
          <w:rPr>
            <w:noProof/>
            <w:webHidden/>
          </w:rPr>
          <w:instrText xml:space="preserve"> PAGEREF _Toc503113529 \h </w:instrText>
        </w:r>
        <w:r>
          <w:rPr>
            <w:noProof/>
            <w:webHidden/>
          </w:rPr>
        </w:r>
        <w:r>
          <w:rPr>
            <w:noProof/>
            <w:webHidden/>
          </w:rPr>
          <w:fldChar w:fldCharType="separate"/>
        </w:r>
        <w:r>
          <w:rPr>
            <w:noProof/>
            <w:webHidden/>
          </w:rPr>
          <w:t>7</w:t>
        </w:r>
        <w:r>
          <w:rPr>
            <w:noProof/>
            <w:webHidden/>
          </w:rPr>
          <w:fldChar w:fldCharType="end"/>
        </w:r>
      </w:hyperlink>
    </w:p>
    <w:p w14:paraId="294914E4"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30" w:history="1">
        <w:r w:rsidRPr="004957BD">
          <w:rPr>
            <w:rStyle w:val="Hyperlink"/>
            <w:noProof/>
            <w:lang w:val="en-US"/>
          </w:rPr>
          <w:t>Table 5 Management network vulnerabilities summary</w:t>
        </w:r>
        <w:r>
          <w:rPr>
            <w:noProof/>
            <w:webHidden/>
          </w:rPr>
          <w:tab/>
        </w:r>
        <w:r>
          <w:rPr>
            <w:noProof/>
            <w:webHidden/>
          </w:rPr>
          <w:fldChar w:fldCharType="begin"/>
        </w:r>
        <w:r>
          <w:rPr>
            <w:noProof/>
            <w:webHidden/>
          </w:rPr>
          <w:instrText xml:space="preserve"> PAGEREF _Toc503113530 \h </w:instrText>
        </w:r>
        <w:r>
          <w:rPr>
            <w:noProof/>
            <w:webHidden/>
          </w:rPr>
        </w:r>
        <w:r>
          <w:rPr>
            <w:noProof/>
            <w:webHidden/>
          </w:rPr>
          <w:fldChar w:fldCharType="separate"/>
        </w:r>
        <w:r>
          <w:rPr>
            <w:noProof/>
            <w:webHidden/>
          </w:rPr>
          <w:t>8</w:t>
        </w:r>
        <w:r>
          <w:rPr>
            <w:noProof/>
            <w:webHidden/>
          </w:rPr>
          <w:fldChar w:fldCharType="end"/>
        </w:r>
      </w:hyperlink>
    </w:p>
    <w:p w14:paraId="73B33DBA"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31" w:history="1">
        <w:r w:rsidRPr="004957BD">
          <w:rPr>
            <w:rStyle w:val="Hyperlink"/>
            <w:noProof/>
          </w:rPr>
          <w:t>Table 6 Warehouse vulnerabilities summary</w:t>
        </w:r>
        <w:r>
          <w:rPr>
            <w:noProof/>
            <w:webHidden/>
          </w:rPr>
          <w:tab/>
        </w:r>
        <w:r>
          <w:rPr>
            <w:noProof/>
            <w:webHidden/>
          </w:rPr>
          <w:fldChar w:fldCharType="begin"/>
        </w:r>
        <w:r>
          <w:rPr>
            <w:noProof/>
            <w:webHidden/>
          </w:rPr>
          <w:instrText xml:space="preserve"> PAGEREF _Toc503113531 \h </w:instrText>
        </w:r>
        <w:r>
          <w:rPr>
            <w:noProof/>
            <w:webHidden/>
          </w:rPr>
        </w:r>
        <w:r>
          <w:rPr>
            <w:noProof/>
            <w:webHidden/>
          </w:rPr>
          <w:fldChar w:fldCharType="separate"/>
        </w:r>
        <w:r>
          <w:rPr>
            <w:noProof/>
            <w:webHidden/>
          </w:rPr>
          <w:t>9</w:t>
        </w:r>
        <w:r>
          <w:rPr>
            <w:noProof/>
            <w:webHidden/>
          </w:rPr>
          <w:fldChar w:fldCharType="end"/>
        </w:r>
      </w:hyperlink>
    </w:p>
    <w:p w14:paraId="3E53ECAD" w14:textId="77777777" w:rsidR="00917044" w:rsidRDefault="00917044">
      <w:pPr>
        <w:pStyle w:val="TableofFigures"/>
        <w:tabs>
          <w:tab w:val="right" w:leader="dot" w:pos="8325"/>
        </w:tabs>
        <w:rPr>
          <w:rFonts w:asciiTheme="minorHAnsi" w:eastAsiaTheme="minorEastAsia" w:hAnsiTheme="minorHAnsi" w:cstheme="minorBidi"/>
          <w:noProof/>
          <w:sz w:val="22"/>
          <w:lang w:val="en-US"/>
        </w:rPr>
      </w:pPr>
      <w:hyperlink w:anchor="_Toc503113532" w:history="1">
        <w:r w:rsidRPr="004957BD">
          <w:rPr>
            <w:rStyle w:val="Hyperlink"/>
            <w:noProof/>
          </w:rPr>
          <w:t xml:space="preserve">Table 7 </w:t>
        </w:r>
        <w:r w:rsidRPr="004957BD">
          <w:rPr>
            <w:rStyle w:val="Hyperlink"/>
            <w:noProof/>
            <w:lang w:val="en-US"/>
          </w:rPr>
          <w:t>Attachment</w:t>
        </w:r>
        <w:r w:rsidRPr="004957BD">
          <w:rPr>
            <w:rStyle w:val="Hyperlink"/>
            <w:noProof/>
          </w:rPr>
          <w:t xml:space="preserve"> files</w:t>
        </w:r>
        <w:r>
          <w:rPr>
            <w:noProof/>
            <w:webHidden/>
          </w:rPr>
          <w:tab/>
        </w:r>
        <w:r>
          <w:rPr>
            <w:noProof/>
            <w:webHidden/>
          </w:rPr>
          <w:fldChar w:fldCharType="begin"/>
        </w:r>
        <w:r>
          <w:rPr>
            <w:noProof/>
            <w:webHidden/>
          </w:rPr>
          <w:instrText xml:space="preserve"> PAGEREF _Toc503113532 \h </w:instrText>
        </w:r>
        <w:r>
          <w:rPr>
            <w:noProof/>
            <w:webHidden/>
          </w:rPr>
        </w:r>
        <w:r>
          <w:rPr>
            <w:noProof/>
            <w:webHidden/>
          </w:rPr>
          <w:fldChar w:fldCharType="separate"/>
        </w:r>
        <w:r>
          <w:rPr>
            <w:noProof/>
            <w:webHidden/>
          </w:rPr>
          <w:t>18</w:t>
        </w:r>
        <w:r>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84435E">
      <w:pPr>
        <w:pStyle w:val="Heading1"/>
      </w:pPr>
      <w:bookmarkStart w:id="2" w:name="_Toc502861643"/>
      <w:bookmarkStart w:id="3" w:name="_Toc503028796"/>
      <w:bookmarkStart w:id="4" w:name="_Toc500698262"/>
      <w:bookmarkStart w:id="5" w:name="_Toc503113508"/>
      <w:r>
        <w:lastRenderedPageBreak/>
        <w:t>Introduction</w:t>
      </w:r>
      <w:bookmarkEnd w:id="2"/>
      <w:bookmarkEnd w:id="3"/>
      <w:bookmarkEnd w:id="5"/>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84435E">
      <w:pPr>
        <w:pStyle w:val="Heading1"/>
      </w:pPr>
      <w:bookmarkStart w:id="6" w:name="_Toc502861644"/>
      <w:bookmarkStart w:id="7" w:name="_Toc503028797"/>
      <w:bookmarkStart w:id="8" w:name="_Toc503113509"/>
      <w:r>
        <w:t>Target organization</w:t>
      </w:r>
      <w:bookmarkEnd w:id="6"/>
      <w:bookmarkEnd w:id="7"/>
      <w:bookmarkEnd w:id="8"/>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84435E">
      <w:pPr>
        <w:pStyle w:val="Heading1"/>
      </w:pPr>
      <w:bookmarkStart w:id="9" w:name="_Toc502861645"/>
      <w:bookmarkStart w:id="10" w:name="_Toc503028798"/>
      <w:bookmarkStart w:id="11" w:name="_Toc503113510"/>
      <w:r>
        <w:t>Scope of the audit</w:t>
      </w:r>
      <w:bookmarkEnd w:id="9"/>
      <w:bookmarkEnd w:id="10"/>
      <w:bookmarkEnd w:id="11"/>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istParagraph"/>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84435E">
      <w:pPr>
        <w:pStyle w:val="Heading1"/>
      </w:pPr>
      <w:bookmarkStart w:id="12" w:name="_Toc503028799"/>
      <w:bookmarkStart w:id="13" w:name="_Toc503113511"/>
      <w:r>
        <w:lastRenderedPageBreak/>
        <w:t>Audit activities</w:t>
      </w:r>
      <w:bookmarkEnd w:id="12"/>
      <w:bookmarkEnd w:id="13"/>
    </w:p>
    <w:p w14:paraId="6F4556E0" w14:textId="77777777" w:rsidR="0054444C" w:rsidRDefault="0054444C" w:rsidP="0054444C">
      <w:pPr>
        <w:pStyle w:val="ListParagraph"/>
        <w:numPr>
          <w:ilvl w:val="0"/>
          <w:numId w:val="36"/>
        </w:numPr>
        <w:rPr>
          <w:color w:val="7030A0"/>
          <w:lang w:val="en-US"/>
        </w:rPr>
      </w:pPr>
      <w:r>
        <w:rPr>
          <w:color w:val="7030A0"/>
          <w:lang w:val="en-US"/>
        </w:rPr>
        <w:t>Information gathering</w:t>
      </w:r>
    </w:p>
    <w:p w14:paraId="5222BE0B" w14:textId="77777777" w:rsidR="0054444C" w:rsidRDefault="0054444C" w:rsidP="0054444C">
      <w:pPr>
        <w:pStyle w:val="ListParagraph"/>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istParagraph"/>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istParagraph"/>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istParagraph"/>
        <w:ind w:left="1440"/>
        <w:rPr>
          <w:color w:val="7030A0"/>
          <w:lang w:val="en-US"/>
        </w:rPr>
      </w:pPr>
    </w:p>
    <w:p w14:paraId="6E60E7D8" w14:textId="22E5DB66" w:rsidR="00E50532" w:rsidRDefault="00EE5451" w:rsidP="006766F6">
      <w:pPr>
        <w:rPr>
          <w:lang w:val="en-US"/>
        </w:rPr>
      </w:pPr>
      <w:r>
        <w:rPr>
          <w:lang w:val="en-US"/>
        </w:rPr>
        <w:t xml:space="preserve">Three </w:t>
      </w:r>
      <w:r w:rsidR="00C8011B" w:rsidRPr="003E3098">
        <w:rPr>
          <w:lang w:val="en-US"/>
        </w:rPr>
        <w:t>sub</w:t>
      </w:r>
      <w:r w:rsidRPr="003E3098">
        <w:rPr>
          <w:lang w:val="en-US"/>
        </w:rPr>
        <w:t xml:space="preserve">groups were created from group </w:t>
      </w:r>
      <w:proofErr w:type="gramStart"/>
      <w:r w:rsidRPr="003E3098">
        <w:rPr>
          <w:lang w:val="en-US"/>
        </w:rPr>
        <w:t>A</w:t>
      </w:r>
      <w:proofErr w:type="gramEnd"/>
      <w:r w:rsidRPr="003E3098">
        <w:rPr>
          <w:lang w:val="en-US"/>
        </w:rPr>
        <w:t xml:space="preserve">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istParagraph"/>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2D6453" w:rsidRDefault="00C8011B" w:rsidP="00223093">
      <w:pPr>
        <w:rPr>
          <w:lang w:val="en-US"/>
        </w:rPr>
      </w:pPr>
      <w:bookmarkStart w:id="14" w:name="_Toc503028800"/>
      <w:r w:rsidRPr="002D6453">
        <w:rPr>
          <w:lang w:val="en-US"/>
        </w:rPr>
        <w:t xml:space="preserve">Used </w:t>
      </w:r>
      <w:r w:rsidR="000F3DEB" w:rsidRPr="002D6453">
        <w:rPr>
          <w:lang w:val="en-US"/>
        </w:rPr>
        <w:t>review techniques in this audit</w:t>
      </w:r>
      <w:r w:rsidRPr="002D6453">
        <w:rPr>
          <w:lang w:val="en-US"/>
        </w:rPr>
        <w:t xml:space="preserve"> can be divided in two parts:</w:t>
      </w:r>
    </w:p>
    <w:p w14:paraId="4190BD38" w14:textId="51413A2A" w:rsidR="00C8011B" w:rsidRPr="002D6453" w:rsidRDefault="000F3DEB" w:rsidP="00C8011B">
      <w:pPr>
        <w:pStyle w:val="ListParagraph"/>
        <w:numPr>
          <w:ilvl w:val="0"/>
          <w:numId w:val="43"/>
        </w:numPr>
        <w:rPr>
          <w:lang w:val="en-US"/>
        </w:rPr>
      </w:pPr>
      <w:r w:rsidRPr="002D6453">
        <w:rPr>
          <w:lang w:val="en-US"/>
        </w:rPr>
        <w:t>Non-technical</w:t>
      </w:r>
    </w:p>
    <w:p w14:paraId="4E614568" w14:textId="464F58CD" w:rsidR="000F3DEB" w:rsidRPr="002D6453" w:rsidRDefault="000F3DEB" w:rsidP="000F3DEB">
      <w:pPr>
        <w:pStyle w:val="ListParagraph"/>
        <w:numPr>
          <w:ilvl w:val="1"/>
          <w:numId w:val="43"/>
        </w:numPr>
        <w:rPr>
          <w:lang w:val="en-US"/>
        </w:rPr>
      </w:pPr>
      <w:r w:rsidRPr="002D6453">
        <w:rPr>
          <w:lang w:val="en-US"/>
        </w:rPr>
        <w:t>Documentation review</w:t>
      </w:r>
    </w:p>
    <w:p w14:paraId="0EB04579" w14:textId="0417D0E4" w:rsidR="000F3DEB" w:rsidRPr="002D6453" w:rsidRDefault="000F3DEB" w:rsidP="000F3DEB">
      <w:pPr>
        <w:pStyle w:val="ListParagraph"/>
        <w:numPr>
          <w:ilvl w:val="1"/>
          <w:numId w:val="43"/>
        </w:numPr>
        <w:rPr>
          <w:lang w:val="en-US"/>
        </w:rPr>
      </w:pPr>
      <w:r w:rsidRPr="002D6453">
        <w:rPr>
          <w:lang w:val="en-US"/>
        </w:rPr>
        <w:t>Ruleset review (Firewall)</w:t>
      </w:r>
    </w:p>
    <w:p w14:paraId="20B5689D" w14:textId="3BEEB4ED" w:rsidR="000F3DEB" w:rsidRPr="002D6453" w:rsidRDefault="000F3DEB" w:rsidP="000F3DEB">
      <w:pPr>
        <w:pStyle w:val="ListParagraph"/>
        <w:numPr>
          <w:ilvl w:val="0"/>
          <w:numId w:val="43"/>
        </w:numPr>
        <w:rPr>
          <w:lang w:val="en-US"/>
        </w:rPr>
      </w:pPr>
      <w:r w:rsidRPr="002D6453">
        <w:rPr>
          <w:lang w:val="en-US"/>
        </w:rPr>
        <w:t>Technical</w:t>
      </w:r>
    </w:p>
    <w:p w14:paraId="4F9FBA5E" w14:textId="10BBF704" w:rsidR="000F3DEB" w:rsidRPr="002D6453" w:rsidRDefault="000F3DEB" w:rsidP="000F3DEB">
      <w:pPr>
        <w:pStyle w:val="ListParagraph"/>
        <w:numPr>
          <w:ilvl w:val="1"/>
          <w:numId w:val="43"/>
        </w:numPr>
        <w:rPr>
          <w:lang w:val="en-US"/>
        </w:rPr>
      </w:pPr>
      <w:r w:rsidRPr="002D6453">
        <w:rPr>
          <w:lang w:val="en-US"/>
        </w:rPr>
        <w:t>Network discovery</w:t>
      </w:r>
    </w:p>
    <w:p w14:paraId="1600139F" w14:textId="178AA9ED" w:rsidR="000F3DEB" w:rsidRPr="002D6453" w:rsidRDefault="000F3DEB" w:rsidP="000F3DEB">
      <w:pPr>
        <w:pStyle w:val="ListParagraph"/>
        <w:numPr>
          <w:ilvl w:val="1"/>
          <w:numId w:val="43"/>
        </w:numPr>
        <w:rPr>
          <w:lang w:val="en-US"/>
        </w:rPr>
      </w:pPr>
      <w:r w:rsidRPr="002D6453">
        <w:rPr>
          <w:lang w:val="en-US"/>
        </w:rPr>
        <w:t>Network port and service identification</w:t>
      </w:r>
    </w:p>
    <w:p w14:paraId="4C118F93" w14:textId="348E5DF4" w:rsidR="000F3DEB" w:rsidRPr="002D6453" w:rsidRDefault="000F3DEB" w:rsidP="000F3DEB">
      <w:pPr>
        <w:pStyle w:val="ListParagraph"/>
        <w:numPr>
          <w:ilvl w:val="1"/>
          <w:numId w:val="43"/>
        </w:numPr>
        <w:rPr>
          <w:lang w:val="en-US"/>
        </w:rPr>
      </w:pPr>
      <w:r w:rsidRPr="002D6453">
        <w:rPr>
          <w:lang w:val="en-US"/>
        </w:rPr>
        <w:t>Vulnerability scanning</w:t>
      </w:r>
    </w:p>
    <w:p w14:paraId="29EDFC3D" w14:textId="50CE3266" w:rsidR="009A3BB8" w:rsidRDefault="00023F7F" w:rsidP="00B47CF7">
      <w:pPr>
        <w:pStyle w:val="Heading2"/>
        <w:rPr>
          <w:lang w:val="en-US"/>
        </w:rPr>
      </w:pPr>
      <w:bookmarkStart w:id="15" w:name="_Toc503113512"/>
      <w:r w:rsidRPr="0084435E">
        <w:rPr>
          <w:lang w:val="en-US"/>
        </w:rPr>
        <w:t>Publicly available networks (DMZ, etc.)</w:t>
      </w:r>
      <w:bookmarkEnd w:id="14"/>
      <w:bookmarkEnd w:id="15"/>
    </w:p>
    <w:p w14:paraId="6BDCC8E2" w14:textId="77777777"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w:t>
      </w:r>
      <w:r w:rsidRPr="00807255">
        <w:rPr>
          <w:lang w:val="en-US"/>
        </w:rPr>
        <w:lastRenderedPageBreak/>
        <w:t xml:space="preserve">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807255">
        <w:rPr>
          <w:lang w:val="en-US"/>
        </w:rPr>
        <w:t>attachements</w:t>
      </w:r>
      <w:proofErr w:type="spellEnd"/>
      <w:r w:rsidRPr="00807255">
        <w:rPr>
          <w:lang w:val="en-US"/>
        </w:rPr>
        <w:t>.</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84435E">
      <w:pPr>
        <w:pStyle w:val="Heading2"/>
        <w:rPr>
          <w:lang w:val="en-US"/>
        </w:rPr>
      </w:pPr>
      <w:bookmarkStart w:id="16" w:name="_Toc503028801"/>
      <w:bookmarkStart w:id="17" w:name="_Toc503113513"/>
      <w:r>
        <w:rPr>
          <w:lang w:val="en-US"/>
        </w:rPr>
        <w:t>Workstation network</w:t>
      </w:r>
      <w:r w:rsidR="009844FA">
        <w:rPr>
          <w:lang w:val="en-US"/>
        </w:rPr>
        <w:t xml:space="preserve"> and WEB testing</w:t>
      </w:r>
      <w:r>
        <w:rPr>
          <w:lang w:val="en-US"/>
        </w:rPr>
        <w:t xml:space="preserve"> (Internal and branch)</w:t>
      </w:r>
      <w:bookmarkEnd w:id="16"/>
      <w:bookmarkEnd w:id="17"/>
    </w:p>
    <w:p w14:paraId="2840B36E" w14:textId="70EB4E9B" w:rsidR="00973AA5" w:rsidRPr="00E0238F" w:rsidRDefault="00973AA5" w:rsidP="00973AA5">
      <w:pPr>
        <w:keepNext/>
        <w:rPr>
          <w:lang w:val="en-US"/>
        </w:rPr>
      </w:pPr>
      <w:r w:rsidRPr="00E0238F">
        <w:rPr>
          <w:lang w:val="en-US"/>
        </w:rPr>
        <w:t>Internal and Branch networks included the following network segments:</w:t>
      </w:r>
    </w:p>
    <w:p w14:paraId="55305B3A" w14:textId="23984C3D" w:rsidR="00973AA5" w:rsidRPr="00E0238F" w:rsidRDefault="000B18DC" w:rsidP="00973AA5">
      <w:pPr>
        <w:pStyle w:val="ListParagraph"/>
        <w:numPr>
          <w:ilvl w:val="0"/>
          <w:numId w:val="42"/>
        </w:numPr>
        <w:rPr>
          <w:lang w:val="en-US"/>
        </w:rPr>
      </w:pPr>
      <w:r w:rsidRPr="00E0238F">
        <w:rPr>
          <w:lang w:val="en-US"/>
        </w:rPr>
        <w:t>Internal</w:t>
      </w:r>
      <w:r w:rsidR="00973AA5" w:rsidRPr="00E0238F">
        <w:rPr>
          <w:lang w:val="en-US"/>
        </w:rPr>
        <w:t xml:space="preserve"> 10.</w:t>
      </w:r>
      <w:r w:rsidRPr="00E0238F">
        <w:rPr>
          <w:lang w:val="en-US"/>
        </w:rPr>
        <w:t>0</w:t>
      </w:r>
      <w:r w:rsidR="00973AA5" w:rsidRPr="00E0238F">
        <w:rPr>
          <w:lang w:val="en-US"/>
        </w:rPr>
        <w:t>.</w:t>
      </w:r>
      <w:r w:rsidRPr="00E0238F">
        <w:rPr>
          <w:lang w:val="en-US"/>
        </w:rPr>
        <w:t>10</w:t>
      </w:r>
      <w:r w:rsidR="00973AA5" w:rsidRPr="00E0238F">
        <w:rPr>
          <w:lang w:val="en-US"/>
        </w:rPr>
        <w:t>0.1/24</w:t>
      </w:r>
    </w:p>
    <w:p w14:paraId="3B2898DC" w14:textId="03493CE9" w:rsidR="00973AA5" w:rsidRPr="00E0238F" w:rsidRDefault="000B18DC" w:rsidP="00973AA5">
      <w:pPr>
        <w:pStyle w:val="ListParagraph"/>
        <w:numPr>
          <w:ilvl w:val="0"/>
          <w:numId w:val="42"/>
        </w:numPr>
        <w:rPr>
          <w:lang w:val="en-US"/>
        </w:rPr>
      </w:pPr>
      <w:r w:rsidRPr="00E0238F">
        <w:rPr>
          <w:lang w:val="en-US"/>
        </w:rPr>
        <w:t>Branch</w:t>
      </w:r>
      <w:r w:rsidR="00973AA5" w:rsidRPr="00E0238F">
        <w:rPr>
          <w:lang w:val="en-US"/>
        </w:rPr>
        <w:t xml:space="preserve"> </w:t>
      </w:r>
      <w:r w:rsidRPr="00E0238F">
        <w:rPr>
          <w:lang w:val="en-US"/>
        </w:rPr>
        <w:t>192.168.10.1</w:t>
      </w:r>
      <w:r w:rsidR="00973AA5" w:rsidRPr="00E0238F">
        <w:rPr>
          <w:lang w:val="en-US"/>
        </w:rPr>
        <w:t>/24</w:t>
      </w:r>
    </w:p>
    <w:p w14:paraId="785ADEB8" w14:textId="5A0CD393" w:rsidR="00973AA5" w:rsidRPr="00E0238F" w:rsidRDefault="00973AA5" w:rsidP="009D226F">
      <w:pPr>
        <w:rPr>
          <w:rStyle w:val="tl8wme"/>
          <w:lang w:val="en-US"/>
        </w:rPr>
      </w:pPr>
      <w:r w:rsidRPr="00E0238F">
        <w:rPr>
          <w:rStyle w:val="tl8wme"/>
          <w:lang w:val="en-US"/>
        </w:rPr>
        <w:t>Web testing was conducted to corresponding web-services found in internal-branch</w:t>
      </w:r>
      <w:r w:rsidR="007A3A1B">
        <w:rPr>
          <w:lang w:val="en-US"/>
        </w:rPr>
        <w:t>-</w:t>
      </w:r>
      <w:r w:rsidR="007A3A1B">
        <w:rPr>
          <w:rStyle w:val="tl8wme"/>
          <w:lang w:val="en-US"/>
        </w:rPr>
        <w:t>servers.</w:t>
      </w:r>
      <w:r w:rsidRPr="00E0238F">
        <w:rPr>
          <w:lang w:val="en-US"/>
        </w:rPr>
        <w:br/>
      </w:r>
      <w:r w:rsidR="00B9265E" w:rsidRPr="00E0238F">
        <w:rPr>
          <w:rStyle w:val="tl8wme"/>
          <w:lang w:val="en-US"/>
        </w:rPr>
        <w:t>F</w:t>
      </w:r>
      <w:r w:rsidRPr="00E0238F">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p>
    <w:p w14:paraId="2239E3EB" w14:textId="77777777" w:rsidR="00973AA5" w:rsidRPr="00E0238F" w:rsidRDefault="00973AA5" w:rsidP="009D226F">
      <w:pPr>
        <w:rPr>
          <w:rStyle w:val="tl8wme"/>
          <w:lang w:val="en-US"/>
        </w:rPr>
      </w:pP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0238F" w:rsidRDefault="00973AA5" w:rsidP="009D226F">
      <w:pPr>
        <w:rPr>
          <w:lang w:val="en-US"/>
        </w:rPr>
      </w:pPr>
      <w:r w:rsidRPr="00E0238F">
        <w:rPr>
          <w:rStyle w:val="tl8wme"/>
          <w:lang w:val="en-US"/>
        </w:rPr>
        <w:t>More detailed issue reports can be found on chapter 7. In addition to verbose http responses or error messages, there were also buffer overflows,</w:t>
      </w:r>
      <w:r w:rsidR="007A3A1B">
        <w:rPr>
          <w:rStyle w:val="tl8wme"/>
          <w:lang w:val="en-US"/>
        </w:rPr>
        <w:t xml:space="preserve"> </w:t>
      </w:r>
      <w:r w:rsidRPr="00E0238F">
        <w:rPr>
          <w:rStyle w:val="tl8wme"/>
          <w:lang w:val="en-US"/>
        </w:rPr>
        <w:t>misconfigured application/server issues found.</w:t>
      </w:r>
    </w:p>
    <w:p w14:paraId="16B3697E" w14:textId="649B0EA8" w:rsidR="00A31DD1" w:rsidRDefault="00023F7F" w:rsidP="0084435E">
      <w:pPr>
        <w:pStyle w:val="Heading2"/>
        <w:rPr>
          <w:lang w:val="en-US"/>
        </w:rPr>
      </w:pPr>
      <w:bookmarkStart w:id="18" w:name="_Toc503028802"/>
      <w:bookmarkStart w:id="19" w:name="_Toc503113514"/>
      <w:r>
        <w:rPr>
          <w:lang w:val="en-US"/>
        </w:rPr>
        <w:lastRenderedPageBreak/>
        <w:t>Management networks</w:t>
      </w:r>
      <w:r w:rsidR="00EF7F38">
        <w:rPr>
          <w:lang w:val="en-US"/>
        </w:rPr>
        <w:t xml:space="preserve"> (MGMT, warehouse and staff)</w:t>
      </w:r>
      <w:bookmarkEnd w:id="18"/>
      <w:bookmarkEnd w:id="19"/>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istParagraph"/>
        <w:numPr>
          <w:ilvl w:val="0"/>
          <w:numId w:val="42"/>
        </w:numPr>
        <w:rPr>
          <w:lang w:val="en-US"/>
        </w:rPr>
      </w:pPr>
      <w:r w:rsidRPr="00253BB6">
        <w:rPr>
          <w:lang w:val="en-US"/>
        </w:rPr>
        <w:t>MGMT 10.99.0.1/24</w:t>
      </w:r>
    </w:p>
    <w:p w14:paraId="362D1FF8" w14:textId="7BED4F1F" w:rsidR="006C7DEC" w:rsidRPr="00253BB6" w:rsidRDefault="006C7DEC" w:rsidP="00397211">
      <w:pPr>
        <w:pStyle w:val="ListParagraph"/>
        <w:numPr>
          <w:ilvl w:val="0"/>
          <w:numId w:val="42"/>
        </w:numPr>
        <w:rPr>
          <w:lang w:val="en-US"/>
        </w:rPr>
      </w:pPr>
      <w:r w:rsidRPr="00253BB6">
        <w:rPr>
          <w:lang w:val="en-US"/>
        </w:rPr>
        <w:t>Warehouse 172.20.0.0/24</w:t>
      </w:r>
    </w:p>
    <w:p w14:paraId="5A01420F" w14:textId="1FCBAFB5" w:rsidR="006C7DEC" w:rsidRPr="00253BB6" w:rsidRDefault="006C7DEC" w:rsidP="00397211">
      <w:pPr>
        <w:pStyle w:val="ListParagraph"/>
        <w:numPr>
          <w:ilvl w:val="0"/>
          <w:numId w:val="42"/>
        </w:numPr>
        <w:rPr>
          <w:lang w:val="en-US"/>
        </w:rPr>
      </w:pPr>
      <w:r w:rsidRPr="00253BB6">
        <w:rPr>
          <w:lang w:val="en-US"/>
        </w:rPr>
        <w:t>Staff-we 10.10.0.0/24</w:t>
      </w:r>
    </w:p>
    <w:p w14:paraId="01C9BE62" w14:textId="26C22524" w:rsidR="006C7DEC" w:rsidRPr="00253BB6" w:rsidRDefault="006C7DEC" w:rsidP="006C7DEC">
      <w:pPr>
        <w:pStyle w:val="ListParagraph"/>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84435E">
      <w:pPr>
        <w:pStyle w:val="Heading1"/>
      </w:pPr>
      <w:bookmarkStart w:id="20" w:name="_Toc503028803"/>
      <w:bookmarkStart w:id="21" w:name="_Toc503113515"/>
      <w:r>
        <w:t>Main findings</w:t>
      </w:r>
      <w:bookmarkEnd w:id="20"/>
      <w:bookmarkEnd w:id="21"/>
    </w:p>
    <w:p w14:paraId="210391A9" w14:textId="6ADCDBE5" w:rsidR="00E21A0A" w:rsidRDefault="00E21A0A" w:rsidP="00E21A0A">
      <w:pPr>
        <w:pStyle w:val="ListParagraph"/>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istParagraph"/>
        <w:numPr>
          <w:ilvl w:val="0"/>
          <w:numId w:val="36"/>
        </w:numPr>
        <w:rPr>
          <w:color w:val="7030A0"/>
        </w:rPr>
      </w:pPr>
      <w:r>
        <w:rPr>
          <w:color w:val="7030A0"/>
        </w:rPr>
        <w:t>Muistetaan PCI DSS näkökulma</w:t>
      </w:r>
    </w:p>
    <w:p w14:paraId="00FB9508" w14:textId="77777777" w:rsidR="00E21A0A" w:rsidRPr="00E21A0A" w:rsidRDefault="00E21A0A" w:rsidP="00E21A0A">
      <w:pPr>
        <w:pStyle w:val="ListParagraph"/>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proofErr w:type="gramStart"/>
      <w:r>
        <w:rPr>
          <w:color w:val="FF0000"/>
        </w:rPr>
        <w:t xml:space="preserve">Yksi näkökulma: </w:t>
      </w:r>
      <w:r w:rsidR="00EF094C" w:rsidRPr="00EF094C">
        <w:rPr>
          <w:color w:val="FF0000"/>
        </w:rPr>
        <w:t>Verrattuna siihen olemassa olevaan d</w:t>
      </w:r>
      <w:r w:rsidR="00EF094C">
        <w:rPr>
          <w:color w:val="FF0000"/>
        </w:rPr>
        <w:t>okumentaation (asiakkaan luovuttamaa)</w:t>
      </w:r>
      <w:proofErr w:type="gramEnd"/>
    </w:p>
    <w:p w14:paraId="0901D910" w14:textId="0CD25615" w:rsidR="00EF7F38" w:rsidRDefault="00EF7F38" w:rsidP="0084435E">
      <w:pPr>
        <w:pStyle w:val="Heading2"/>
        <w:rPr>
          <w:lang w:val="en-US"/>
        </w:rPr>
      </w:pPr>
      <w:bookmarkStart w:id="22" w:name="_Toc503028804"/>
      <w:bookmarkStart w:id="23" w:name="_Toc503113516"/>
      <w:r>
        <w:rPr>
          <w:lang w:val="en-US"/>
        </w:rPr>
        <w:t>Publicly available networks (DMZ, etc.)</w:t>
      </w:r>
      <w:bookmarkEnd w:id="22"/>
      <w:bookmarkEnd w:id="23"/>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807255">
      <w:pPr>
        <w:rPr>
          <w:lang w:val="en-US"/>
        </w:rPr>
      </w:pPr>
      <w:r w:rsidRPr="00807255">
        <w:rPr>
          <w:lang w:val="en-US"/>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Heading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84435E">
      <w:pPr>
        <w:pStyle w:val="Heading2"/>
        <w:rPr>
          <w:lang w:val="en-US"/>
        </w:rPr>
      </w:pPr>
      <w:bookmarkStart w:id="24" w:name="_Toc503028805"/>
      <w:bookmarkStart w:id="25" w:name="_Toc503113517"/>
      <w:r>
        <w:rPr>
          <w:lang w:val="en-US"/>
        </w:rPr>
        <w:t>Workstation network (Internal and branch)</w:t>
      </w:r>
      <w:bookmarkEnd w:id="24"/>
      <w:bookmarkEnd w:id="25"/>
    </w:p>
    <w:p w14:paraId="4F48FA0F" w14:textId="0B6B9037" w:rsidR="005976CF" w:rsidRPr="005976CF" w:rsidRDefault="005976CF" w:rsidP="005976CF">
      <w:pPr>
        <w:rPr>
          <w:color w:val="385623" w:themeColor="accent6" w:themeShade="80"/>
          <w:lang w:val="en-US"/>
        </w:rPr>
      </w:pPr>
      <w:bookmarkStart w:id="26" w:name="_Toc503028806"/>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5BC7A2CA" w:rsidR="00EF7F38" w:rsidRDefault="00EF7F38" w:rsidP="0084435E">
      <w:pPr>
        <w:pStyle w:val="Heading2"/>
        <w:rPr>
          <w:lang w:val="en-US"/>
        </w:rPr>
      </w:pPr>
      <w:bookmarkStart w:id="27" w:name="_Toc503113518"/>
      <w:r>
        <w:rPr>
          <w:lang w:val="en-US"/>
        </w:rPr>
        <w:t>Management networks (MGMT, warehouse and staff)</w:t>
      </w:r>
      <w:bookmarkEnd w:id="26"/>
      <w:bookmarkEnd w:id="27"/>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4FD3892C" w:rsidR="006766F6" w:rsidRDefault="006766F6" w:rsidP="0084435E">
      <w:pPr>
        <w:pStyle w:val="Heading1"/>
      </w:pPr>
      <w:bookmarkStart w:id="28" w:name="_Toc503028807"/>
      <w:bookmarkStart w:id="29" w:name="_Toc503113519"/>
      <w:r>
        <w:t>Recommendations</w:t>
      </w:r>
      <w:bookmarkEnd w:id="28"/>
      <w:bookmarkEnd w:id="29"/>
    </w:p>
    <w:p w14:paraId="2F5E971D" w14:textId="6E0093A1" w:rsidR="00E21A0A" w:rsidRDefault="00E21A0A" w:rsidP="00E21A0A">
      <w:pPr>
        <w:pStyle w:val="ListParagraph"/>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istParagraph"/>
        <w:numPr>
          <w:ilvl w:val="1"/>
          <w:numId w:val="36"/>
        </w:numPr>
        <w:rPr>
          <w:color w:val="7030A0"/>
        </w:rPr>
      </w:pPr>
      <w:r>
        <w:rPr>
          <w:color w:val="7030A0"/>
        </w:rPr>
        <w:t>Arvioidaan PCI DSS näkökulmasta</w:t>
      </w:r>
    </w:p>
    <w:p w14:paraId="79684812" w14:textId="67BF8501" w:rsidR="00E21A0A" w:rsidRDefault="00E21A0A" w:rsidP="00E21A0A">
      <w:pPr>
        <w:pStyle w:val="ListParagraph"/>
        <w:numPr>
          <w:ilvl w:val="1"/>
          <w:numId w:val="36"/>
        </w:numPr>
        <w:rPr>
          <w:color w:val="7030A0"/>
        </w:rPr>
      </w:pPr>
      <w:r>
        <w:rPr>
          <w:color w:val="7030A0"/>
        </w:rPr>
        <w:t>”Yhteenveto”</w:t>
      </w:r>
    </w:p>
    <w:p w14:paraId="395E673B" w14:textId="4A24468C" w:rsidR="00E21A0A" w:rsidRDefault="00E21A0A" w:rsidP="00E21A0A">
      <w:pPr>
        <w:pStyle w:val="ListParagraph"/>
        <w:numPr>
          <w:ilvl w:val="2"/>
          <w:numId w:val="36"/>
        </w:numPr>
        <w:rPr>
          <w:color w:val="7030A0"/>
        </w:rPr>
      </w:pPr>
      <w:r>
        <w:rPr>
          <w:color w:val="7030A0"/>
        </w:rPr>
        <w:t>Ei vastaa PCI DSS</w:t>
      </w:r>
    </w:p>
    <w:p w14:paraId="6CB3349C" w14:textId="100EE99E" w:rsidR="00E21A0A" w:rsidRDefault="00E21A0A" w:rsidP="00E21A0A">
      <w:pPr>
        <w:pStyle w:val="ListParagraph"/>
        <w:numPr>
          <w:ilvl w:val="2"/>
          <w:numId w:val="36"/>
        </w:numPr>
        <w:rPr>
          <w:color w:val="7030A0"/>
        </w:rPr>
      </w:pPr>
      <w:r>
        <w:rPr>
          <w:color w:val="7030A0"/>
        </w:rPr>
        <w:t>Suositellaan korjattavaksi</w:t>
      </w:r>
    </w:p>
    <w:p w14:paraId="27251C81" w14:textId="124326AC" w:rsidR="00E21A0A" w:rsidRDefault="00E21A0A" w:rsidP="00E21A0A">
      <w:pPr>
        <w:pStyle w:val="ListParagraph"/>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istParagraph"/>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45E59907" w:rsidR="006766F6" w:rsidRPr="006766F6" w:rsidRDefault="005976CF" w:rsidP="006766F6">
      <w:pPr>
        <w:rPr>
          <w:lang w:val="en-US"/>
        </w:rPr>
      </w:pPr>
      <w:r>
        <w:rPr>
          <w:lang w:val="en-US"/>
        </w:rPr>
        <w:lastRenderedPageBreak/>
        <w:t xml:space="preserve">Disable old encryption protocols and update encryption software to newest version. </w:t>
      </w:r>
    </w:p>
    <w:p w14:paraId="5525AA36" w14:textId="5EE38A8A" w:rsidR="00881CFE" w:rsidRDefault="00D527A1" w:rsidP="0084435E">
      <w:pPr>
        <w:pStyle w:val="Heading1"/>
      </w:pPr>
      <w:bookmarkStart w:id="30" w:name="_Toc503028808"/>
      <w:bookmarkStart w:id="31" w:name="_Toc503113520"/>
      <w:r>
        <w:t xml:space="preserve">Detailed </w:t>
      </w:r>
      <w:r w:rsidR="00881CFE">
        <w:t>Technical Report</w:t>
      </w:r>
      <w:bookmarkEnd w:id="4"/>
      <w:bookmarkEnd w:id="30"/>
      <w:bookmarkEnd w:id="31"/>
    </w:p>
    <w:p w14:paraId="175776B0" w14:textId="199706EC" w:rsidR="0054444C" w:rsidRDefault="0054444C" w:rsidP="0054444C">
      <w:pPr>
        <w:pStyle w:val="ListParagraph"/>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istParagraph"/>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istParagraph"/>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2" w:name="_Toc500698263"/>
    </w:p>
    <w:p w14:paraId="0F79FFD0" w14:textId="2BCBBEDE" w:rsidR="00881CFE" w:rsidRPr="00593871" w:rsidRDefault="00881CFE" w:rsidP="0084435E">
      <w:pPr>
        <w:pStyle w:val="Heading2"/>
        <w:rPr>
          <w:lang w:val="en-US"/>
          <w:rPrChange w:id="33" w:author="Author">
            <w:rPr/>
          </w:rPrChange>
        </w:rPr>
      </w:pPr>
      <w:bookmarkStart w:id="34" w:name="_Toc503028809"/>
      <w:bookmarkStart w:id="35" w:name="_Toc503113521"/>
      <w:r w:rsidRPr="00593871">
        <w:rPr>
          <w:lang w:val="en-US"/>
          <w:rPrChange w:id="36" w:author="Author">
            <w:rPr/>
          </w:rPrChange>
        </w:rPr>
        <w:t>Tool</w:t>
      </w:r>
      <w:bookmarkEnd w:id="32"/>
      <w:r w:rsidR="00B9378B" w:rsidRPr="00593871">
        <w:rPr>
          <w:lang w:val="en-US"/>
          <w:rPrChange w:id="37" w:author="Author">
            <w:rPr/>
          </w:rPrChange>
        </w:rPr>
        <w:t>ing</w:t>
      </w:r>
      <w:bookmarkEnd w:id="34"/>
      <w:bookmarkEnd w:id="35"/>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Caption"/>
        <w:rPr>
          <w:lang w:val="en-US"/>
        </w:rPr>
      </w:pPr>
      <w:bookmarkStart w:id="38"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8"/>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Heading2"/>
      </w:pPr>
      <w:bookmarkStart w:id="39" w:name="_Toc500698264"/>
      <w:r>
        <w:t xml:space="preserve"> </w:t>
      </w:r>
      <w:bookmarkStart w:id="40" w:name="_Toc503028810"/>
      <w:bookmarkStart w:id="41" w:name="_Toc503113522"/>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9"/>
      <w:bookmarkEnd w:id="40"/>
      <w:bookmarkEnd w:id="41"/>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Caption"/>
      </w:pPr>
      <w:bookmarkStart w:id="42" w:name="_Toc503113527"/>
      <w:proofErr w:type="spellStart"/>
      <w:r>
        <w:lastRenderedPageBreak/>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2"/>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7A3A1B"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7A3A1B"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Heading2"/>
        <w:rPr>
          <w:color w:val="FF0000"/>
        </w:rPr>
      </w:pPr>
      <w:bookmarkStart w:id="43" w:name="_Toc500698267"/>
      <w:bookmarkStart w:id="44" w:name="_Toc503028812"/>
      <w:bookmarkStart w:id="45" w:name="_Toc503113523"/>
      <w:proofErr w:type="spellStart"/>
      <w:r w:rsidRPr="008922CE">
        <w:t>Vulnerability</w:t>
      </w:r>
      <w:proofErr w:type="spellEnd"/>
      <w:r w:rsidRPr="00532F65">
        <w:t xml:space="preserve"> </w:t>
      </w:r>
      <w:proofErr w:type="spellStart"/>
      <w:r w:rsidRPr="00532F65">
        <w:t>Summary</w:t>
      </w:r>
      <w:bookmarkEnd w:id="43"/>
      <w:bookmarkEnd w:id="44"/>
      <w:bookmarkEnd w:id="45"/>
      <w:proofErr w:type="spellEnd"/>
      <w:r w:rsidR="008965B1" w:rsidRPr="00532F65">
        <w:t xml:space="preserve"> </w:t>
      </w:r>
      <w:bookmarkStart w:id="46" w:name="_GoBack"/>
      <w:bookmarkEnd w:id="46"/>
    </w:p>
    <w:p w14:paraId="7E29E54A" w14:textId="3AA1F313" w:rsidR="00AF1C8E" w:rsidRDefault="00AF1C8E" w:rsidP="00AF1C8E">
      <w:pPr>
        <w:pStyle w:val="ListParagraph"/>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istParagraph"/>
        <w:numPr>
          <w:ilvl w:val="1"/>
          <w:numId w:val="36"/>
        </w:numPr>
        <w:rPr>
          <w:color w:val="7030A0"/>
        </w:rPr>
      </w:pPr>
      <w:r>
        <w:rPr>
          <w:color w:val="7030A0"/>
        </w:rPr>
        <w:t>Tärkeimmät nostot voidaan ottaa mukaan</w:t>
      </w:r>
    </w:p>
    <w:p w14:paraId="47A0A4E2" w14:textId="11210173" w:rsidR="00AF1C8E" w:rsidRDefault="00AF1C8E" w:rsidP="00AF1C8E">
      <w:pPr>
        <w:pStyle w:val="ListParagraph"/>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istParagraph"/>
        <w:numPr>
          <w:ilvl w:val="1"/>
          <w:numId w:val="36"/>
        </w:numPr>
        <w:rPr>
          <w:color w:val="7030A0"/>
        </w:rPr>
      </w:pPr>
      <w:r>
        <w:rPr>
          <w:color w:val="7030A0"/>
        </w:rPr>
        <w:t>IP-osoite, palvelu ja haavoittuvuudet</w:t>
      </w:r>
    </w:p>
    <w:p w14:paraId="51C5FDC8" w14:textId="3EE1C56F" w:rsidR="00AF1C8E" w:rsidRDefault="00AF1C8E" w:rsidP="00AF1C8E">
      <w:pPr>
        <w:pStyle w:val="ListParagraph"/>
        <w:numPr>
          <w:ilvl w:val="1"/>
          <w:numId w:val="36"/>
        </w:numPr>
        <w:rPr>
          <w:color w:val="7030A0"/>
        </w:rPr>
      </w:pPr>
      <w:proofErr w:type="gramStart"/>
      <w:r>
        <w:rPr>
          <w:color w:val="7030A0"/>
        </w:rPr>
        <w:t>Ajatuksena yhteenveto aiemmin avatuista (otsikko 5) segmenttikohtaisista haavoittuvuuksista</w:t>
      </w:r>
      <w:proofErr w:type="gramEnd"/>
    </w:p>
    <w:p w14:paraId="0656E787" w14:textId="69F2B502" w:rsidR="00AF1C8E" w:rsidRPr="006C225F" w:rsidRDefault="006C225F" w:rsidP="00B9265E">
      <w:pPr>
        <w:pStyle w:val="Heading3"/>
      </w:pPr>
      <w:r>
        <w:t>DMZ vulnerability summary</w:t>
      </w:r>
    </w:p>
    <w:p w14:paraId="638EE98A" w14:textId="3DB3BB39" w:rsidR="006C225F" w:rsidRPr="006C225F" w:rsidRDefault="006C225F" w:rsidP="00E45CBD">
      <w:pPr>
        <w:pStyle w:val="Caption"/>
        <w:rPr>
          <w:lang w:val="en-US"/>
        </w:rPr>
      </w:pPr>
      <w:bookmarkStart w:id="47"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7"/>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Caption"/>
        <w:rPr>
          <w:lang w:val="en-US"/>
        </w:rPr>
      </w:pPr>
      <w:bookmarkStart w:id="48"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8"/>
    </w:p>
    <w:tbl>
      <w:tblPr>
        <w:tblStyle w:val="TableGrid"/>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6014A1" w:rsidP="00D02C7D">
            <w:pPr>
              <w:rPr>
                <w:lang w:val="en-US"/>
              </w:rPr>
            </w:pPr>
            <w:hyperlink r:id="rId19" w:history="1">
              <w:r w:rsidR="00D02C7D" w:rsidRPr="002A5542">
                <w:rPr>
                  <w:rStyle w:val="Hyperlink"/>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Heading3"/>
      </w:pPr>
      <w:r w:rsidRPr="005976CF">
        <w:lastRenderedPageBreak/>
        <w:t>Internal and Branch vulnerabilities summary</w:t>
      </w:r>
    </w:p>
    <w:p w14:paraId="116023BB" w14:textId="77777777" w:rsidR="00D02C7D" w:rsidRPr="00E0238F" w:rsidRDefault="00D02C7D" w:rsidP="00D02C7D">
      <w:pPr>
        <w:pStyle w:val="Caption"/>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bleGrid"/>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9A4F08">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9A4F08">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9A4F08">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9A4F08">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9A4F08">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9A4F08">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9A4F08">
            <w:pPr>
              <w:rPr>
                <w:b/>
              </w:rPr>
            </w:pPr>
            <w:r w:rsidRPr="00E0238F">
              <w:rPr>
                <w:b/>
              </w:rPr>
              <w:t>Info</w:t>
            </w:r>
          </w:p>
        </w:tc>
      </w:tr>
      <w:tr w:rsidR="00D02C7D" w:rsidRPr="00E0238F" w14:paraId="00959A63"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9A4F08">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9A4F08">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9A4F08">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9A4F08">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9A4F08">
            <w:pPr>
              <w:rPr>
                <w:lang w:val="en-US"/>
              </w:rPr>
            </w:pPr>
            <w:r w:rsidRPr="00E0238F">
              <w:rPr>
                <w:lang w:val="en-US"/>
              </w:rPr>
              <w:t>41</w:t>
            </w:r>
          </w:p>
        </w:tc>
      </w:tr>
      <w:tr w:rsidR="00D02C7D" w:rsidRPr="00E0238F" w14:paraId="7F7CDD03"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9A4F08">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9A4F08">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9A4F08">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9A4F08">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9A4F08">
            <w:pPr>
              <w:rPr>
                <w:lang w:val="en-US"/>
              </w:rPr>
            </w:pPr>
            <w:r w:rsidRPr="00E0238F">
              <w:rPr>
                <w:lang w:val="en-US"/>
              </w:rPr>
              <w:t>20</w:t>
            </w:r>
          </w:p>
        </w:tc>
      </w:tr>
      <w:tr w:rsidR="00D02C7D" w:rsidRPr="00E0238F" w14:paraId="6DFC56D9"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9A4F08">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9A4F08">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9A4F08">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9A4F08">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9A4F08">
            <w:pPr>
              <w:rPr>
                <w:lang w:val="en-US"/>
              </w:rPr>
            </w:pPr>
            <w:r w:rsidRPr="00E0238F">
              <w:rPr>
                <w:lang w:val="en-US"/>
              </w:rPr>
              <w:t>33</w:t>
            </w:r>
          </w:p>
        </w:tc>
      </w:tr>
      <w:tr w:rsidR="00D02C7D" w:rsidRPr="00E0238F" w14:paraId="36423A74"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9A4F08">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9A4F08">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9A4F08">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9A4F08">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9A4F08">
            <w:pPr>
              <w:rPr>
                <w:lang w:val="en-US"/>
              </w:rPr>
            </w:pPr>
            <w:r w:rsidRPr="00E0238F">
              <w:rPr>
                <w:lang w:val="en-US"/>
              </w:rPr>
              <w:t>23</w:t>
            </w:r>
          </w:p>
        </w:tc>
      </w:tr>
      <w:tr w:rsidR="00D02C7D" w:rsidRPr="00E0238F" w14:paraId="5ED2188C" w14:textId="77777777" w:rsidTr="009A4F08">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9A4F08">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9A4F08">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9A4F08">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9A4F08">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9A4F08">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9A4F08">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9A4F08">
            <w:pPr>
              <w:rPr>
                <w:lang w:val="en-US"/>
              </w:rPr>
            </w:pPr>
            <w:r w:rsidRPr="00E0238F">
              <w:rPr>
                <w:lang w:val="en-US"/>
              </w:rPr>
              <w:t>17</w:t>
            </w:r>
          </w:p>
        </w:tc>
      </w:tr>
    </w:tbl>
    <w:p w14:paraId="760EB8BC" w14:textId="77777777" w:rsidR="00D02C7D" w:rsidRPr="00E0238F" w:rsidRDefault="00D02C7D" w:rsidP="00D02C7D">
      <w:pPr>
        <w:pStyle w:val="Caption"/>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9A4F08">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9A4F08">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9A4F08">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9A4F08">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9A4F08">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9A4F08">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9A4F08">
            <w:pPr>
              <w:rPr>
                <w:b/>
              </w:rPr>
            </w:pPr>
            <w:r w:rsidRPr="00E0238F">
              <w:rPr>
                <w:b/>
              </w:rPr>
              <w:t>Info</w:t>
            </w:r>
          </w:p>
        </w:tc>
      </w:tr>
      <w:tr w:rsidR="00D02C7D" w:rsidRPr="00E0238F" w14:paraId="3DB9BC74"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9A4F08">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9A4F08">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9A4F08">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9A4F08">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9A4F08">
            <w:pPr>
              <w:rPr>
                <w:lang w:val="en-US"/>
              </w:rPr>
            </w:pPr>
            <w:r w:rsidRPr="00E0238F">
              <w:rPr>
                <w:lang w:val="en-US"/>
              </w:rPr>
              <w:t>30</w:t>
            </w:r>
          </w:p>
        </w:tc>
      </w:tr>
      <w:tr w:rsidR="00D02C7D" w:rsidRPr="00E0238F" w14:paraId="6EA878C3"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9A4F08">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9A4F08">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9A4F08">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9A4F08">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9A4F08">
            <w:pPr>
              <w:rPr>
                <w:lang w:val="en-US"/>
              </w:rPr>
            </w:pPr>
            <w:r w:rsidRPr="00E0238F">
              <w:rPr>
                <w:lang w:val="en-US"/>
              </w:rPr>
              <w:t>31</w:t>
            </w:r>
          </w:p>
        </w:tc>
      </w:tr>
      <w:tr w:rsidR="00D02C7D" w:rsidRPr="00E0238F" w14:paraId="5350DD87"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9A4F08">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9A4F08">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9A4F08">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9A4F08">
            <w:pPr>
              <w:rPr>
                <w:lang w:val="en-US"/>
              </w:rPr>
            </w:pPr>
            <w:r w:rsidRPr="00E0238F">
              <w:rPr>
                <w:lang w:val="en-US"/>
              </w:rPr>
              <w:t>4</w:t>
            </w:r>
          </w:p>
        </w:tc>
      </w:tr>
      <w:tr w:rsidR="00D02C7D" w:rsidRPr="00E0238F" w14:paraId="3DB565B9"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9A4F08">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9A4F08">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9A4F08">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9A4F08">
            <w:pPr>
              <w:rPr>
                <w:lang w:val="en-US"/>
              </w:rPr>
            </w:pPr>
            <w:r w:rsidRPr="00E0238F">
              <w:rPr>
                <w:lang w:val="en-US"/>
              </w:rPr>
              <w:t>18</w:t>
            </w:r>
          </w:p>
        </w:tc>
      </w:tr>
      <w:tr w:rsidR="00D02C7D" w:rsidRPr="00E0238F" w14:paraId="3AD78C91" w14:textId="77777777" w:rsidTr="009A4F08">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9A4F08">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9A4F08">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9A4F08">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9A4F08">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9A4F08">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9A4F08">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9A4F08">
            <w:pPr>
              <w:rPr>
                <w:lang w:val="en-US"/>
              </w:rPr>
            </w:pPr>
            <w:r w:rsidRPr="00E0238F">
              <w:rPr>
                <w:lang w:val="en-US"/>
              </w:rPr>
              <w:t>18</w:t>
            </w:r>
          </w:p>
        </w:tc>
      </w:tr>
    </w:tbl>
    <w:p w14:paraId="30227D46" w14:textId="2087B620" w:rsidR="00DF0799" w:rsidRPr="007C274F" w:rsidRDefault="00E45CBD" w:rsidP="00B9265E">
      <w:pPr>
        <w:pStyle w:val="Heading3"/>
      </w:pPr>
      <w:r>
        <w:t>Management networks vulnerabilities summary</w:t>
      </w:r>
    </w:p>
    <w:p w14:paraId="362CB16F" w14:textId="23345DC7" w:rsidR="00DF0799" w:rsidRPr="009630FB" w:rsidRDefault="00DF0799" w:rsidP="00E45CBD">
      <w:pPr>
        <w:pStyle w:val="Caption"/>
        <w:rPr>
          <w:lang w:val="en-US"/>
        </w:rPr>
      </w:pPr>
      <w:bookmarkStart w:id="49"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9"/>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Caption"/>
      </w:pPr>
      <w:bookmarkStart w:id="50" w:name="_Toc503113531"/>
      <w:proofErr w:type="spellStart"/>
      <w:r>
        <w:lastRenderedPageBreak/>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50"/>
      <w:proofErr w:type="spellEnd"/>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Caption"/>
      </w:pPr>
      <w:bookmarkStart w:id="51" w:name="_Toc500698268"/>
      <w:bookmarkStart w:id="52" w:name="_Toc503028813"/>
    </w:p>
    <w:p w14:paraId="5AA967A2" w14:textId="47BD72A3" w:rsidR="00532F65" w:rsidRDefault="00881CFE" w:rsidP="0084435E">
      <w:pPr>
        <w:pStyle w:val="Heading2"/>
        <w:rPr>
          <w:lang w:val="en-US"/>
        </w:rPr>
      </w:pPr>
      <w:bookmarkStart w:id="53" w:name="_Toc503113524"/>
      <w:r w:rsidRPr="003C3BC0">
        <w:rPr>
          <w:lang w:val="en-US"/>
        </w:rPr>
        <w:t>Vulnerability Details</w:t>
      </w:r>
      <w:bookmarkEnd w:id="51"/>
      <w:bookmarkEnd w:id="52"/>
      <w:bookmarkEnd w:id="53"/>
      <w:r w:rsidR="008965B1" w:rsidRPr="003C3BC0">
        <w:rPr>
          <w:lang w:val="en-US"/>
        </w:rPr>
        <w:t xml:space="preserve"> </w:t>
      </w:r>
    </w:p>
    <w:p w14:paraId="6CDCC341" w14:textId="386BEEBB" w:rsidR="003C1BFB" w:rsidRDefault="003C1BFB" w:rsidP="003C1BFB">
      <w:pPr>
        <w:pStyle w:val="ListParagraph"/>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istParagraph"/>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istParagraph"/>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istParagraph"/>
        <w:numPr>
          <w:ilvl w:val="0"/>
          <w:numId w:val="36"/>
        </w:numPr>
        <w:rPr>
          <w:color w:val="7030A0"/>
        </w:rPr>
      </w:pPr>
      <w:r>
        <w:rPr>
          <w:color w:val="7030A0"/>
        </w:rPr>
        <w:t>Jako segmenteittäin</w:t>
      </w:r>
    </w:p>
    <w:p w14:paraId="2A432501" w14:textId="3FCC43D2" w:rsidR="003C1BFB" w:rsidRPr="00E21A0A" w:rsidRDefault="003C1BFB" w:rsidP="003C1BFB">
      <w:pPr>
        <w:pStyle w:val="ListParagraph"/>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istParagraph"/>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Heading3"/>
      </w:pPr>
      <w:r>
        <w:t>List of vulnerabilities in DMZ</w:t>
      </w:r>
    </w:p>
    <w:tbl>
      <w:tblPr>
        <w:tblStyle w:val="TableGrid"/>
        <w:tblW w:w="0" w:type="auto"/>
        <w:tblLook w:val="04A0" w:firstRow="1" w:lastRow="0" w:firstColumn="1" w:lastColumn="0" w:noHBand="0" w:noVBand="1"/>
      </w:tblPr>
      <w:tblGrid>
        <w:gridCol w:w="8325"/>
      </w:tblGrid>
      <w:tr w:rsidR="00807255" w:rsidRPr="007A3A1B"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Title"/>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lastRenderedPageBreak/>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istParagraph"/>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istParagraph"/>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Heading3"/>
      </w:pPr>
      <w:bookmarkStart w:id="54" w:name="_Toc500698271"/>
      <w:r>
        <w:t>List of vulnerabilities</w:t>
      </w:r>
      <w:r w:rsidR="00B9265E">
        <w:t xml:space="preserve"> in workstation networks and WEB services</w:t>
      </w:r>
    </w:p>
    <w:tbl>
      <w:tblPr>
        <w:tblStyle w:val="TableGrid"/>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Title"/>
              <w:keepNext/>
            </w:pPr>
            <w:bookmarkStart w:id="55"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593871">
              <w:rPr>
                <w:lang w:val="en-US"/>
                <w:rPrChange w:id="56" w:author="Author">
                  <w:rPr/>
                </w:rPrChange>
              </w:rPr>
              <w:instrText xml:space="preserve"> HYPERLINK "http://files.ldil.de" </w:instrText>
            </w:r>
            <w:r>
              <w:fldChar w:fldCharType="separate"/>
            </w:r>
            <w:r w:rsidRPr="00717836">
              <w:rPr>
                <w:rStyle w:val="Hyperlink"/>
                <w:lang w:val="en-US"/>
              </w:rPr>
              <w:t>files.ldil.de</w:t>
            </w:r>
            <w:r>
              <w:rPr>
                <w:rStyle w:val="Hyperlink"/>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593871">
              <w:rPr>
                <w:lang w:val="en-US"/>
                <w:rPrChange w:id="57"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Title"/>
            </w:pPr>
            <w:bookmarkStart w:id="58" w:name="_Toc503028824"/>
            <w:bookmarkEnd w:id="55"/>
            <w:r>
              <w:t>Microsoft Windows SMB Server</w:t>
            </w:r>
            <w:bookmarkEnd w:id="58"/>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593871">
              <w:rPr>
                <w:lang w:val="en-US"/>
                <w:rPrChange w:id="59"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593871">
              <w:rPr>
                <w:lang w:val="en-US"/>
                <w:rPrChange w:id="60" w:author="Author">
                  <w:rPr/>
                </w:rPrChange>
              </w:rPr>
              <w:instrText xml:space="preserve"> HYPERLINK "http://files.ldil.de" </w:instrText>
            </w:r>
            <w:r>
              <w:fldChar w:fldCharType="separate"/>
            </w:r>
            <w:r w:rsidRPr="00717836">
              <w:rPr>
                <w:rStyle w:val="Hyperlink"/>
                <w:lang w:val="en-US"/>
              </w:rPr>
              <w:t>files.ldil.de</w:t>
            </w:r>
            <w:r>
              <w:rPr>
                <w:rStyle w:val="Hyperlink"/>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w:t>
            </w:r>
            <w:r>
              <w:rPr>
                <w:lang w:val="en-US"/>
              </w:rPr>
              <w:lastRenderedPageBreak/>
              <w:t>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7A3A1B" w14:paraId="76D58975" w14:textId="77777777" w:rsidTr="000D232D">
        <w:tc>
          <w:tcPr>
            <w:tcW w:w="9576" w:type="dxa"/>
            <w:shd w:val="clear" w:color="auto" w:fill="auto"/>
          </w:tcPr>
          <w:p w14:paraId="0BEB5F79" w14:textId="1A74CF9F" w:rsidR="0065134C" w:rsidRDefault="0065134C" w:rsidP="0065134C">
            <w:pPr>
              <w:pStyle w:val="Title"/>
            </w:pPr>
            <w:bookmarkStart w:id="61" w:name="_Toc503028828"/>
            <w:bookmarkStart w:id="62"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61"/>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593871">
              <w:rPr>
                <w:lang w:val="en-US"/>
                <w:rPrChange w:id="63" w:author="Author">
                  <w:rPr/>
                </w:rPrChange>
              </w:rPr>
              <w:instrText xml:space="preserve"> HYPERLINK "http://dc.ldil.de" </w:instrText>
            </w:r>
            <w:r>
              <w:fldChar w:fldCharType="separate"/>
            </w:r>
            <w:r w:rsidR="00273344" w:rsidRPr="00717836">
              <w:rPr>
                <w:rStyle w:val="Hyperlink"/>
                <w:lang w:val="en-US"/>
              </w:rPr>
              <w:t>dc.ldil.de</w:t>
            </w:r>
            <w:r>
              <w:rPr>
                <w:rStyle w:val="Hyperlink"/>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593871">
              <w:rPr>
                <w:lang w:val="en-US"/>
                <w:rPrChange w:id="64" w:author="Author">
                  <w:rPr/>
                </w:rPrChange>
              </w:rPr>
              <w:instrText xml:space="preserve"> HYPERLINK "http://technet.microsoft.com/en-us/security/bulletin/ms11-058" \t "_blank" </w:instrText>
            </w:r>
            <w:r w:rsidR="0084435E">
              <w:fldChar w:fldCharType="separate"/>
            </w:r>
            <w:r w:rsidRPr="0059542E">
              <w:rPr>
                <w:rStyle w:val="Hyperlink"/>
                <w:lang w:val="en-US"/>
              </w:rPr>
              <w:t>http://technet.microsoft.com/en-us/security/bulletin/ms11-058</w:t>
            </w:r>
            <w:r w:rsidR="0084435E">
              <w:rPr>
                <w:rStyle w:val="Hyperlink"/>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2"/>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Title"/>
            </w:pPr>
            <w:bookmarkStart w:id="65"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5"/>
          </w:p>
          <w:p w14:paraId="7AD0DBD6" w14:textId="21E37F17" w:rsidR="00721533" w:rsidRDefault="00721533" w:rsidP="000D232D">
            <w:pPr>
              <w:jc w:val="both"/>
              <w:rPr>
                <w:b/>
                <w:lang w:val="en-US"/>
              </w:rPr>
            </w:pPr>
            <w:r w:rsidRPr="00881CFE">
              <w:rPr>
                <w:b/>
                <w:lang w:val="en-US"/>
              </w:rPr>
              <w:lastRenderedPageBreak/>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593871">
              <w:rPr>
                <w:lang w:val="en-US"/>
                <w:rPrChange w:id="66"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Title"/>
            </w:pPr>
            <w:bookmarkStart w:id="67"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7"/>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bleGrid"/>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Title"/>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593871">
              <w:rPr>
                <w:lang w:val="en-US"/>
                <w:rPrChange w:id="68"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Title"/>
            </w:pPr>
          </w:p>
        </w:tc>
      </w:tr>
    </w:tbl>
    <w:p w14:paraId="53286400" w14:textId="77777777" w:rsidR="0065134C" w:rsidRDefault="0065134C" w:rsidP="00253BB6">
      <w:pPr>
        <w:pStyle w:val="Title"/>
      </w:pPr>
    </w:p>
    <w:tbl>
      <w:tblPr>
        <w:tblStyle w:val="TableGrid"/>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Title"/>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593871">
              <w:rPr>
                <w:lang w:val="en-US"/>
                <w:rPrChange w:id="69"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bleGrid"/>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Title"/>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593871">
              <w:rPr>
                <w:lang w:val="en-US"/>
                <w:rPrChange w:id="70"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bleGrid"/>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Title"/>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593871">
              <w:rPr>
                <w:lang w:val="en-US"/>
                <w:rPrChange w:id="71"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version</w:t>
            </w:r>
            <w:proofErr w:type="gramStart"/>
            <w:r>
              <w:rPr>
                <w:lang w:val="en-US"/>
              </w:rPr>
              <w:t>..”</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bleGrid"/>
        <w:tblW w:w="0" w:type="auto"/>
        <w:tblLook w:val="04A0" w:firstRow="1" w:lastRow="0" w:firstColumn="1" w:lastColumn="0" w:noHBand="0" w:noVBand="1"/>
      </w:tblPr>
      <w:tblGrid>
        <w:gridCol w:w="8325"/>
      </w:tblGrid>
      <w:tr w:rsidR="00B25022"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Title"/>
            </w:pPr>
            <w:r>
              <w:lastRenderedPageBreak/>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t xml:space="preserve">Vulnerable Targets: </w:t>
            </w:r>
            <w:r>
              <w:fldChar w:fldCharType="begin"/>
            </w:r>
            <w:r w:rsidRPr="00593871">
              <w:rPr>
                <w:lang w:val="en-US"/>
                <w:rPrChange w:id="72"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593871">
              <w:rPr>
                <w:lang w:val="en-US"/>
                <w:rPrChange w:id="73" w:author="Author">
                  <w:rPr/>
                </w:rPrChange>
              </w:rPr>
              <w:instrText xml:space="preserve"> HYPERLINK "https://intra.ldil.de/wp-content/themes/twentysixteen?query=xlScCqlemqpPtXbFamPILdDaLkKPaUyLMWHUlAa" </w:instrText>
            </w:r>
            <w:r>
              <w:fldChar w:fldCharType="separate"/>
            </w:r>
            <w:r w:rsidRPr="00DB0611">
              <w:rPr>
                <w:rStyle w:val="Hyperlink"/>
                <w:lang w:val="en-US"/>
              </w:rPr>
              <w:t>https://intra.ldil.de/wp-content/themes/twentysixteen?query=xlScCqlemqpPtXbFamPILdDaLkKPaUyLMWHUlAa</w:t>
            </w:r>
            <w:r>
              <w:rPr>
                <w:rStyle w:val="Hyperlink"/>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bleGrid"/>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Title"/>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593871">
              <w:rPr>
                <w:lang w:val="en-US"/>
                <w:rPrChange w:id="74" w:author="Author">
                  <w:rPr/>
                </w:rPrChange>
              </w:rPr>
              <w:instrText xml:space="preserve"> HYPERLINK "https://intra.ldil.de/wp-admin%20/" </w:instrText>
            </w:r>
            <w:r>
              <w:fldChar w:fldCharType="separate"/>
            </w:r>
            <w:r w:rsidRPr="00717836">
              <w:rPr>
                <w:rStyle w:val="Hyperlink"/>
                <w:lang w:val="en-US"/>
              </w:rPr>
              <w:t>https://intra.ldil.de/wp-admin /</w:t>
            </w:r>
            <w:r>
              <w:rPr>
                <w:rStyle w:val="Hyperlink"/>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bleGrid"/>
        <w:tblW w:w="0" w:type="auto"/>
        <w:tblLook w:val="04A0" w:firstRow="1" w:lastRow="0" w:firstColumn="1" w:lastColumn="0" w:noHBand="0" w:noVBand="1"/>
      </w:tblPr>
      <w:tblGrid>
        <w:gridCol w:w="8325"/>
      </w:tblGrid>
      <w:tr w:rsidR="00B25022" w:rsidRPr="007A3A1B" w14:paraId="46272EC2" w14:textId="77777777" w:rsidTr="00B25022">
        <w:tc>
          <w:tcPr>
            <w:tcW w:w="8325" w:type="dxa"/>
            <w:tcBorders>
              <w:top w:val="nil"/>
              <w:left w:val="nil"/>
              <w:bottom w:val="nil"/>
              <w:right w:val="nil"/>
            </w:tcBorders>
          </w:tcPr>
          <w:p w14:paraId="672F1709" w14:textId="77777777" w:rsidR="00B25022" w:rsidRDefault="00B25022" w:rsidP="00B25022">
            <w:pPr>
              <w:pStyle w:val="Title"/>
            </w:pPr>
            <w:r>
              <w:lastRenderedPageBreak/>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593871">
              <w:rPr>
                <w:lang w:val="en-US"/>
                <w:rPrChange w:id="75"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bleGrid"/>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Title"/>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593871">
              <w:rPr>
                <w:lang w:val="en-US"/>
                <w:rPrChange w:id="76"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593871">
              <w:rPr>
                <w:lang w:val="en-US"/>
                <w:rPrChange w:id="77" w:author="Author">
                  <w:rPr/>
                </w:rPrChange>
              </w:rPr>
              <w:instrText xml:space="preserve"> HYPERLINK "http://helpdesk.ldil.de" </w:instrText>
            </w:r>
            <w:r>
              <w:fldChar w:fldCharType="separate"/>
            </w:r>
            <w:r w:rsidRPr="00717836">
              <w:rPr>
                <w:rStyle w:val="Hyperlink"/>
                <w:lang w:val="en-US"/>
              </w:rPr>
              <w:t>http://helpdesk.ldil.de</w:t>
            </w:r>
            <w:r>
              <w:rPr>
                <w:rStyle w:val="Hyperlink"/>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bleGrid"/>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Title"/>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lastRenderedPageBreak/>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bleGrid"/>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Title"/>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593871">
              <w:rPr>
                <w:lang w:val="en-US"/>
                <w:rPrChange w:id="78" w:author="Author">
                  <w:rPr/>
                </w:rPrChange>
              </w:rPr>
              <w:instrText xml:space="preserve"> HYPERLINK "http://pos.ldil.de" </w:instrText>
            </w:r>
            <w:r>
              <w:fldChar w:fldCharType="separate"/>
            </w:r>
            <w:r w:rsidRPr="00717836">
              <w:rPr>
                <w:rStyle w:val="Hyperlink"/>
                <w:lang w:val="en-US"/>
              </w:rPr>
              <w:t>http://pos.ldil.de</w:t>
            </w:r>
            <w:r>
              <w:rPr>
                <w:rStyle w:val="Hyperlink"/>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bleGrid"/>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Title"/>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593871">
              <w:rPr>
                <w:lang w:val="en-US"/>
                <w:rPrChange w:id="79"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bleGrid"/>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Heading1"/>
      </w:pPr>
      <w:bookmarkStart w:id="80" w:name="_Toc503028836"/>
      <w:bookmarkStart w:id="81" w:name="_Toc503113525"/>
      <w:r>
        <w:lastRenderedPageBreak/>
        <w:t xml:space="preserve">Sample Report </w:t>
      </w:r>
      <w:r w:rsidR="0054444C">
        <w:t>–</w:t>
      </w:r>
      <w:r>
        <w:t xml:space="preserve"> Attachments</w:t>
      </w:r>
      <w:bookmarkEnd w:id="54"/>
      <w:bookmarkEnd w:id="80"/>
      <w:bookmarkEnd w:id="81"/>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istParagraph"/>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istParagraph"/>
        <w:rPr>
          <w:color w:val="7030A0"/>
          <w:lang w:val="en-US"/>
        </w:rPr>
      </w:pPr>
    </w:p>
    <w:p w14:paraId="3AD7F118" w14:textId="77777777" w:rsidR="00450EBB" w:rsidRPr="0054444C" w:rsidRDefault="00450EBB" w:rsidP="0054444C">
      <w:pPr>
        <w:pStyle w:val="ListParagraph"/>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istParagraph"/>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istParagraph"/>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istParagraph"/>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istParagraph"/>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istParagraph"/>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istParagraph"/>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istParagraph"/>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istParagraph"/>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istParagraph"/>
        <w:ind w:left="1440"/>
        <w:rPr>
          <w:color w:val="7030A0"/>
          <w:lang w:val="en-US"/>
        </w:rPr>
      </w:pPr>
    </w:p>
    <w:p w14:paraId="2315772E" w14:textId="7403EF01" w:rsidR="006755BB" w:rsidRPr="00450EBB" w:rsidRDefault="006755BB" w:rsidP="006755BB">
      <w:pPr>
        <w:pStyle w:val="Caption"/>
        <w:rPr>
          <w:color w:val="7030A0"/>
          <w:lang w:val="en-US"/>
        </w:rPr>
      </w:pPr>
      <w:bookmarkStart w:id="82" w:name="_Toc503113532"/>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82"/>
      <w:proofErr w:type="spellEnd"/>
      <w:r>
        <w:t xml:space="preserve"> </w:t>
      </w:r>
    </w:p>
    <w:tbl>
      <w:tblPr>
        <w:tblStyle w:val="TableGrid"/>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7A3A1B"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7A3A1B"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7A3A1B"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7A3A1B"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7A3A1B"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7A3A1B"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7A3A1B"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62EDF" w14:textId="77777777" w:rsidR="006014A1" w:rsidRDefault="006014A1" w:rsidP="00520772">
      <w:pPr>
        <w:spacing w:after="0" w:line="240" w:lineRule="auto"/>
      </w:pPr>
      <w:r>
        <w:separator/>
      </w:r>
    </w:p>
  </w:endnote>
  <w:endnote w:type="continuationSeparator" w:id="0">
    <w:p w14:paraId="2D50763D" w14:textId="77777777" w:rsidR="006014A1" w:rsidRDefault="006014A1" w:rsidP="00520772">
      <w:pPr>
        <w:spacing w:after="0" w:line="240" w:lineRule="auto"/>
      </w:pPr>
      <w:r>
        <w:continuationSeparator/>
      </w:r>
    </w:p>
  </w:endnote>
  <w:endnote w:type="continuationNotice" w:id="1">
    <w:p w14:paraId="3BAC964D" w14:textId="77777777" w:rsidR="006014A1" w:rsidRDefault="006014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84435E" w:rsidRDefault="0084435E">
    <w:pPr>
      <w:pStyle w:val="Footer"/>
      <w:rPr>
        <w:noProof/>
      </w:rPr>
    </w:pPr>
  </w:p>
  <w:p w14:paraId="76303E37" w14:textId="77777777" w:rsidR="0084435E" w:rsidRDefault="0084435E">
    <w:pPr>
      <w:pStyle w:val="Footer"/>
      <w:rPr>
        <w:noProof/>
      </w:rPr>
    </w:pPr>
  </w:p>
  <w:p w14:paraId="33CFCA07" w14:textId="77777777" w:rsidR="0084435E" w:rsidRDefault="0084435E">
    <w:pPr>
      <w:pStyle w:val="Footer"/>
      <w:rPr>
        <w:noProof/>
      </w:rPr>
    </w:pPr>
  </w:p>
  <w:p w14:paraId="458646BC" w14:textId="77777777" w:rsidR="0084435E" w:rsidRDefault="0084435E">
    <w:pPr>
      <w:pStyle w:val="Footer"/>
      <w:rPr>
        <w:noProof/>
      </w:rPr>
    </w:pPr>
  </w:p>
  <w:p w14:paraId="6884AE4E" w14:textId="45983B4A" w:rsidR="0084435E" w:rsidRDefault="0084435E">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84435E" w:rsidRPr="00701321" w:rsidRDefault="0084435E"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3B1A3" w14:textId="77777777" w:rsidR="006014A1" w:rsidRDefault="006014A1" w:rsidP="00520772">
      <w:pPr>
        <w:spacing w:after="0" w:line="240" w:lineRule="auto"/>
      </w:pPr>
      <w:r>
        <w:separator/>
      </w:r>
    </w:p>
  </w:footnote>
  <w:footnote w:type="continuationSeparator" w:id="0">
    <w:p w14:paraId="62F27ADB" w14:textId="77777777" w:rsidR="006014A1" w:rsidRDefault="006014A1" w:rsidP="00520772">
      <w:pPr>
        <w:spacing w:after="0" w:line="240" w:lineRule="auto"/>
      </w:pPr>
      <w:r>
        <w:continuationSeparator/>
      </w:r>
    </w:p>
  </w:footnote>
  <w:footnote w:type="continuationNotice" w:id="1">
    <w:p w14:paraId="00183ABC" w14:textId="77777777" w:rsidR="006014A1" w:rsidRDefault="006014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84435E" w:rsidRDefault="0084435E"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2B59686F" w:rsidR="0084435E" w:rsidRDefault="0084435E">
        <w:pPr>
          <w:pStyle w:val="Header"/>
          <w:jc w:val="right"/>
        </w:pPr>
        <w:r>
          <w:fldChar w:fldCharType="begin"/>
        </w:r>
        <w:r>
          <w:instrText>PAGE   \* MERGEFORMAT</w:instrText>
        </w:r>
        <w:r>
          <w:fldChar w:fldCharType="separate"/>
        </w:r>
        <w:r w:rsidR="00917044">
          <w:rPr>
            <w:noProof/>
          </w:rPr>
          <w:t>8</w:t>
        </w:r>
        <w:r>
          <w:fldChar w:fldCharType="end"/>
        </w:r>
      </w:p>
    </w:sdtContent>
  </w:sdt>
  <w:p w14:paraId="4EA160FF" w14:textId="07A76E15" w:rsidR="0084435E" w:rsidRDefault="008443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13505E1" w:rsidR="0084435E" w:rsidRDefault="0084435E">
        <w:pPr>
          <w:pStyle w:val="Header"/>
          <w:jc w:val="right"/>
        </w:pPr>
        <w:r>
          <w:fldChar w:fldCharType="begin"/>
        </w:r>
        <w:r>
          <w:instrText>PAGE   \* MERGEFORMAT</w:instrText>
        </w:r>
        <w:r>
          <w:fldChar w:fldCharType="separate"/>
        </w:r>
        <w:r w:rsidR="00917044">
          <w:rPr>
            <w:noProof/>
          </w:rPr>
          <w:t>1</w:t>
        </w:r>
        <w:r>
          <w:fldChar w:fldCharType="end"/>
        </w:r>
      </w:p>
    </w:sdtContent>
  </w:sdt>
  <w:p w14:paraId="5596D67B" w14:textId="28565D9D" w:rsidR="0084435E" w:rsidRDefault="008443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B18DC"/>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A56"/>
    <w:rsid w:val="006219F6"/>
    <w:rsid w:val="006249A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17044"/>
    <w:rsid w:val="00921A6D"/>
    <w:rsid w:val="00923111"/>
    <w:rsid w:val="0093021D"/>
    <w:rsid w:val="00936B5E"/>
    <w:rsid w:val="00952028"/>
    <w:rsid w:val="009630FB"/>
    <w:rsid w:val="0097057B"/>
    <w:rsid w:val="00973AA5"/>
    <w:rsid w:val="00975B3F"/>
    <w:rsid w:val="009844FA"/>
    <w:rsid w:val="009870B4"/>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35E"/>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4435E"/>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ldil.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CE6A80-ECE5-4237-A4EB-341E964D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4590</Words>
  <Characters>26169</Characters>
  <Application>Microsoft Office Word</Application>
  <DocSecurity>0</DocSecurity>
  <Lines>218</Lines>
  <Paragraphs>61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