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r>
        <w:rPr>
          <w:b/>
          <w:sz w:val="36"/>
          <w:szCs w:val="36"/>
          <w:lang w:val="en-US"/>
        </w:rPr>
        <w:t>Ld</w:t>
      </w:r>
      <w:r w:rsidR="002023CD">
        <w:rPr>
          <w:b/>
          <w:sz w:val="36"/>
          <w:szCs w:val="36"/>
          <w:lang w:val="en-US"/>
        </w:rPr>
        <w:t>i</w:t>
      </w:r>
      <w:r>
        <w:rPr>
          <w:b/>
          <w:sz w:val="36"/>
          <w:szCs w:val="36"/>
          <w:lang w:val="en-US"/>
        </w:rPr>
        <w:t>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63E00"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63E00"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63E00"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663E00"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084CA4">
              <w:fldChar w:fldCharType="begin"/>
            </w:r>
            <w:r w:rsidR="00084CA4">
              <w:instrText xml:space="preserve"> HYPERLINK "https://janet.finna.fi/Search/Results?lookfor=asiasanastot&amp;prefiltered=format_Database&amp;SearchForm_submit=Find&amp;retainFilters=0&amp;filter%5b%5d=format%3A%220%2FDatabase%2F%22&amp;lng=en-gb" </w:instrText>
            </w:r>
            <w:r w:rsidR="00084CA4">
              <w:fldChar w:fldCharType="separate"/>
            </w:r>
            <w:r w:rsidRPr="00C36C9A">
              <w:rPr>
                <w:rStyle w:val="Hyperlinkki"/>
              </w:rPr>
              <w:t>subjects</w:t>
            </w:r>
            <w:proofErr w:type="spellEnd"/>
            <w:r w:rsidR="00084CA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9A3BB8">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9A3BB8">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9A3BB8">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9A3BB8">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9A3BB8">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9A3BB8">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9A3BB8">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9A3BB8">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9A3BB8">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9A3BB8">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9A3BB8">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9A3BB8">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9A3BB8">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9A3BB8">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75BFC4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7EEAF192" w14:textId="32600469" w:rsidR="007D4A7B" w:rsidRPr="007D4A7B" w:rsidRDefault="007D4A7B" w:rsidP="007D4A7B">
      <w:pPr>
        <w:pStyle w:val="Luettelokappale"/>
        <w:numPr>
          <w:ilvl w:val="0"/>
          <w:numId w:val="37"/>
        </w:numPr>
      </w:pPr>
      <w:r w:rsidRPr="007D4A7B">
        <w:t>Vahti-ohje otsikko 1.2 -&gt; arvioinnin h</w:t>
      </w:r>
      <w:r>
        <w:t>yödyt organisaatiolle</w:t>
      </w:r>
    </w:p>
    <w:p w14:paraId="5F6FB3DB" w14:textId="3596ED9C" w:rsidR="003F530C" w:rsidRDefault="003F530C" w:rsidP="00EE5451">
      <w:pPr>
        <w:pStyle w:val="Otsikko1"/>
      </w:pPr>
      <w:bookmarkStart w:id="9" w:name="_Toc501481999"/>
      <w:r>
        <w:t xml:space="preserve">Scope of the </w:t>
      </w:r>
      <w:bookmarkEnd w:id="9"/>
      <w:r w:rsidR="00BD4128">
        <w:t>audit</w:t>
      </w:r>
    </w:p>
    <w:p w14:paraId="38570B5F" w14:textId="6DD69CD3" w:rsidR="007D4A7B" w:rsidRDefault="007D4A7B" w:rsidP="00663E00">
      <w:pPr>
        <w:pStyle w:val="Luettelokappale"/>
        <w:numPr>
          <w:ilvl w:val="0"/>
          <w:numId w:val="36"/>
        </w:numPr>
        <w:rPr>
          <w:lang w:val="en-US"/>
        </w:rPr>
      </w:pPr>
      <w:proofErr w:type="spellStart"/>
      <w:r>
        <w:rPr>
          <w:lang w:val="en-US"/>
        </w:rPr>
        <w:t>Vahti-ohje</w:t>
      </w:r>
      <w:proofErr w:type="spellEnd"/>
      <w:r>
        <w:rPr>
          <w:lang w:val="en-US"/>
        </w:rPr>
        <w:t xml:space="preserve"> 1.5 -&gt; </w:t>
      </w:r>
      <w:proofErr w:type="spellStart"/>
      <w:r>
        <w:rPr>
          <w:lang w:val="en-US"/>
        </w:rPr>
        <w:t>Erilaiset</w:t>
      </w:r>
      <w:proofErr w:type="spellEnd"/>
      <w:r>
        <w:rPr>
          <w:lang w:val="en-US"/>
        </w:rPr>
        <w:t xml:space="preserve"> </w:t>
      </w:r>
      <w:proofErr w:type="spellStart"/>
      <w:r>
        <w:rPr>
          <w:lang w:val="en-US"/>
        </w:rPr>
        <w:t>arviointikohteet</w:t>
      </w:r>
      <w:proofErr w:type="spellEnd"/>
    </w:p>
    <w:p w14:paraId="74A3015E" w14:textId="4FC7A022" w:rsidR="00663E00" w:rsidRDefault="00663E00" w:rsidP="00663E00">
      <w:pPr>
        <w:pStyle w:val="Luettelokappale"/>
        <w:numPr>
          <w:ilvl w:val="0"/>
          <w:numId w:val="36"/>
        </w:numPr>
        <w:rPr>
          <w:lang w:val="en-US"/>
        </w:rPr>
      </w:pPr>
      <w:proofErr w:type="spellStart"/>
      <w:r>
        <w:rPr>
          <w:lang w:val="en-US"/>
        </w:rPr>
        <w:t>Tekninen</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hallinnollinen</w:t>
      </w:r>
      <w:proofErr w:type="spellEnd"/>
    </w:p>
    <w:p w14:paraId="2E7C2160" w14:textId="01175DDB" w:rsidR="00663E00" w:rsidRDefault="007D4A7B" w:rsidP="00663E00">
      <w:pPr>
        <w:pStyle w:val="Luettelokappale"/>
        <w:numPr>
          <w:ilvl w:val="0"/>
          <w:numId w:val="36"/>
        </w:numPr>
      </w:pPr>
      <w:r>
        <w:t xml:space="preserve">Auditoinnin viitekehyksenä käytetään </w:t>
      </w:r>
      <w:r w:rsidRPr="007D4A7B">
        <w:t>PCI DSS soveltuvin osin (e</w:t>
      </w:r>
      <w:r>
        <w:t>i esim. hallinnollisia elementtejä)</w:t>
      </w:r>
    </w:p>
    <w:p w14:paraId="286D34E0" w14:textId="522E0C62" w:rsidR="007D4A7B" w:rsidRPr="007D4A7B" w:rsidRDefault="007D4A7B" w:rsidP="00663E00">
      <w:pPr>
        <w:pStyle w:val="Luettelokappale"/>
        <w:numPr>
          <w:ilvl w:val="0"/>
          <w:numId w:val="36"/>
        </w:numPr>
      </w:pPr>
      <w:r>
        <w:t xml:space="preserve">Vahti-ohje 1.6 – </w:t>
      </w:r>
      <w:proofErr w:type="spellStart"/>
      <w:r>
        <w:t>Arvointikohteen</w:t>
      </w:r>
      <w:proofErr w:type="spellEnd"/>
      <w:r>
        <w:t xml:space="preserve"> valinta ja rajaus</w:t>
      </w:r>
    </w:p>
    <w:p w14:paraId="7C6E12BC" w14:textId="77777777" w:rsidR="00663E00" w:rsidRPr="007D4A7B" w:rsidRDefault="00663E00" w:rsidP="006766F6"/>
    <w:p w14:paraId="467CABB3" w14:textId="016AE209"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0" w:name="_Toc501482000"/>
      <w:r>
        <w:t>Audit activities</w:t>
      </w:r>
      <w:bookmarkEnd w:id="10"/>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t xml:space="preserve">Groups were </w:t>
      </w:r>
      <w:proofErr w:type="spellStart"/>
      <w:r>
        <w:rPr>
          <w:lang w:val="en-US"/>
        </w:rPr>
        <w:t>following:</w:t>
      </w:r>
    </w:p>
    <w:p w14:paraId="550C5C1D" w14:textId="77777777" w:rsidR="009A3BB8" w:rsidRDefault="009A3BB8" w:rsidP="009A3BB8">
      <w:pPr>
        <w:pStyle w:val="Luettelokappale"/>
        <w:numPr>
          <w:ilvl w:val="0"/>
          <w:numId w:val="35"/>
        </w:numPr>
        <w:rPr>
          <w:lang w:val="en-US"/>
        </w:rPr>
      </w:pPr>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lastRenderedPageBreak/>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1" w:name="_Toc501482001"/>
      <w:r>
        <w:t>Main findings</w:t>
      </w:r>
      <w:bookmarkEnd w:id="11"/>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bookmarkStart w:id="12" w:name="_GoBack"/>
      <w:bookmarkEnd w:id="12"/>
    </w:p>
    <w:p w14:paraId="26F0E659" w14:textId="77777777" w:rsidR="00EF7F38" w:rsidRDefault="00EF7F38" w:rsidP="00EF7F38">
      <w:pPr>
        <w:pStyle w:val="Otsikko2"/>
        <w:rPr>
          <w:lang w:val="en-US"/>
        </w:rPr>
      </w:pPr>
      <w:r>
        <w:rPr>
          <w:lang w:val="en-US"/>
        </w:rPr>
        <w:t>Workstation network (Internal and branch)</w:t>
      </w:r>
    </w:p>
    <w:p w14:paraId="02C1AC44" w14:textId="77777777"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3" w:name="_Toc501482002"/>
      <w:r>
        <w:t>Recommendations</w:t>
      </w:r>
      <w:bookmarkEnd w:id="13"/>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4" w:name="_Toc501482003"/>
      <w:r>
        <w:t xml:space="preserve">Detailed </w:t>
      </w:r>
      <w:r w:rsidR="00881CFE">
        <w:t>Technical Report</w:t>
      </w:r>
      <w:bookmarkEnd w:id="8"/>
      <w:bookmarkEnd w:id="14"/>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5" w:name="_Toc500698263"/>
    </w:p>
    <w:p w14:paraId="0F79FFD0" w14:textId="4008C48A" w:rsidR="00881CFE" w:rsidRPr="003F530C" w:rsidRDefault="00881CFE" w:rsidP="00EE5451">
      <w:pPr>
        <w:pStyle w:val="Otsikko2"/>
      </w:pPr>
      <w:bookmarkStart w:id="16" w:name="_Toc501482004"/>
      <w:proofErr w:type="spellStart"/>
      <w:r w:rsidRPr="003F530C">
        <w:lastRenderedPageBreak/>
        <w:t>Tool</w:t>
      </w:r>
      <w:bookmarkEnd w:id="15"/>
      <w:r w:rsidR="00B9378B" w:rsidRPr="003F530C">
        <w:t>ing</w:t>
      </w:r>
      <w:bookmarkEnd w:id="16"/>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7" w:name="_Toc500698264"/>
      <w:r>
        <w:t xml:space="preserve"> </w:t>
      </w:r>
      <w:bookmarkStart w:id="18"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7"/>
      <w:bookmarkEnd w:id="18"/>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663E00"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663E00"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9" w:name="_Toc500698265"/>
      <w:bookmarkStart w:id="20" w:name="_Toc501482006"/>
      <w:proofErr w:type="spellStart"/>
      <w:r>
        <w:t>Information</w:t>
      </w:r>
      <w:proofErr w:type="spellEnd"/>
      <w:r>
        <w:t xml:space="preserve"> </w:t>
      </w:r>
      <w:proofErr w:type="spellStart"/>
      <w:r>
        <w:t>Gathering</w:t>
      </w:r>
      <w:bookmarkEnd w:id="19"/>
      <w:bookmarkEnd w:id="2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lastRenderedPageBreak/>
        <w:t xml:space="preserve"> </w:t>
      </w:r>
      <w:bookmarkStart w:id="21" w:name="_Toc500698266"/>
      <w:bookmarkStart w:id="22" w:name="_Toc501482007"/>
      <w:r w:rsidRPr="00932DB3">
        <w:t xml:space="preserve">Service </w:t>
      </w:r>
      <w:proofErr w:type="spellStart"/>
      <w:r w:rsidRPr="00932DB3">
        <w:t>Enumeration</w:t>
      </w:r>
      <w:bookmarkEnd w:id="21"/>
      <w:bookmarkEnd w:id="22"/>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3" w:name="_Toc500698267"/>
      <w:r w:rsidRPr="00532F65">
        <w:lastRenderedPageBreak/>
        <w:t xml:space="preserve"> </w:t>
      </w:r>
      <w:bookmarkStart w:id="24" w:name="_Toc501482008"/>
      <w:proofErr w:type="spellStart"/>
      <w:r w:rsidRPr="008922CE">
        <w:t>Vulnerability</w:t>
      </w:r>
      <w:proofErr w:type="spellEnd"/>
      <w:r w:rsidRPr="00532F65">
        <w:t xml:space="preserve"> </w:t>
      </w:r>
      <w:proofErr w:type="spellStart"/>
      <w:r w:rsidRPr="00532F65">
        <w:t>Summary</w:t>
      </w:r>
      <w:bookmarkEnd w:id="23"/>
      <w:proofErr w:type="spellEnd"/>
      <w:r w:rsidR="008965B1" w:rsidRPr="00532F65">
        <w:t xml:space="preserve"> </w:t>
      </w:r>
      <w:bookmarkEnd w:id="24"/>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663E00"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/21 (FTP)</w:t>
            </w:r>
          </w:p>
          <w:p w14:paraId="658C0912"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 xml:space="preserve">/80 (HTTP) </w:t>
            </w:r>
            <w:proofErr w:type="spellStart"/>
            <w:r w:rsidRPr="00E50532">
              <w:rPr>
                <w:lang w:val="en-US"/>
              </w:rPr>
              <w:t>nginx</w:t>
            </w:r>
            <w:proofErr w:type="spellEnd"/>
            <w:r w:rsidRPr="00E50532">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E50532"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663E00"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663E00"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663E00"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5" w:name="_Toc500698268"/>
      <w:bookmarkStart w:id="26" w:name="_Toc501482009"/>
      <w:proofErr w:type="spellStart"/>
      <w:r>
        <w:lastRenderedPageBreak/>
        <w:t>Vulnerability</w:t>
      </w:r>
      <w:proofErr w:type="spellEnd"/>
      <w:r>
        <w:t xml:space="preserve"> </w:t>
      </w:r>
      <w:proofErr w:type="spellStart"/>
      <w:r>
        <w:t>Details</w:t>
      </w:r>
      <w:bookmarkEnd w:id="25"/>
      <w:proofErr w:type="spellEnd"/>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663E00" w14:paraId="2E38B7DE" w14:textId="77777777" w:rsidTr="001B2315">
        <w:tc>
          <w:tcPr>
            <w:tcW w:w="9576" w:type="dxa"/>
            <w:shd w:val="clear" w:color="auto" w:fill="auto"/>
          </w:tcPr>
          <w:p w14:paraId="5726F5D3" w14:textId="77777777" w:rsidR="00881CFE" w:rsidRPr="002C6A46" w:rsidRDefault="00881CFE" w:rsidP="00881CFE">
            <w:pPr>
              <w:pStyle w:val="Otsikko3"/>
              <w:rPr>
                <w:lang w:val="en-US"/>
              </w:rPr>
            </w:pPr>
            <w:bookmarkStart w:id="27" w:name="_Toc500698269"/>
            <w:bookmarkStart w:id="28" w:name="_Toc501482010"/>
            <w:r w:rsidRPr="002C6A46">
              <w:rPr>
                <w:rStyle w:val="Otsikko3Char"/>
                <w:lang w:val="en-US"/>
              </w:rPr>
              <w:t>Ability Server 2.34 FTP STOR Buffer Overflow</w:t>
            </w:r>
            <w:bookmarkEnd w:id="27"/>
            <w:bookmarkEnd w:id="28"/>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Otsikko3"/>
              <w:rPr>
                <w:rStyle w:val="Otsikko3Char"/>
                <w:b/>
                <w:bCs/>
              </w:rPr>
            </w:pPr>
            <w:bookmarkStart w:id="29" w:name="_Toc500698270"/>
            <w:bookmarkStart w:id="30" w:name="_Toc501482011"/>
            <w:r w:rsidRPr="0023049F">
              <w:rPr>
                <w:rStyle w:val="Otsikko3Char"/>
                <w:b/>
                <w:bCs/>
              </w:rPr>
              <w:lastRenderedPageBreak/>
              <w:t>SQL Injection</w:t>
            </w:r>
            <w:bookmarkEnd w:id="29"/>
            <w:bookmarkEnd w:id="30"/>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48A02F7D" w:rsidR="0023049F" w:rsidRPr="0023049F" w:rsidRDefault="0023049F" w:rsidP="00881CFE">
      <w:pPr>
        <w:rPr>
          <w:b/>
          <w:color w:val="FF0000"/>
        </w:rPr>
      </w:pPr>
      <w:r w:rsidRPr="0023049F">
        <w:rPr>
          <w:b/>
          <w:color w:val="FF0000"/>
        </w:rPr>
        <w:t>Web-</w:t>
      </w:r>
      <w:proofErr w:type="spellStart"/>
      <w:r w:rsidRPr="0023049F">
        <w:rPr>
          <w:b/>
          <w:color w:val="FF0000"/>
        </w:rPr>
        <w:t>testing</w:t>
      </w:r>
      <w:proofErr w:type="spellEnd"/>
      <w:r w:rsidR="00693437">
        <w:rPr>
          <w:b/>
          <w:color w:val="FF0000"/>
        </w:rPr>
        <w:t>:</w:t>
      </w:r>
    </w:p>
    <w:p w14:paraId="7720BB29" w14:textId="251C864B" w:rsidR="0023049F" w:rsidRPr="00693437" w:rsidRDefault="0023049F" w:rsidP="0023049F">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93437">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7E92761D" w14:textId="77777777" w:rsidR="00B30B4E" w:rsidRPr="00881CFE" w:rsidRDefault="00B30B4E" w:rsidP="00B30B4E">
      <w:pPr>
        <w:jc w:val="both"/>
        <w:rPr>
          <w:b/>
          <w:bCs/>
          <w:lang w:val="en-US"/>
        </w:rPr>
      </w:pPr>
      <w:r w:rsidRPr="00881CFE">
        <w:rPr>
          <w:b/>
          <w:bCs/>
          <w:lang w:val="en-US"/>
        </w:rPr>
        <w:t xml:space="preserve">Synopsis: </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4864A34D" w14:textId="77777777"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Otsikko3"/>
        <w:rPr>
          <w:lang w:val="en-US"/>
        </w:rPr>
      </w:pPr>
      <w:r>
        <w:rPr>
          <w:lang w:val="en-US"/>
        </w:rPr>
        <w:t>XSS-protection is not enabled</w:t>
      </w:r>
    </w:p>
    <w:p w14:paraId="7FB8F0AE" w14:textId="6C9621B7" w:rsidR="00B30B4E" w:rsidRPr="003C0ACB" w:rsidRDefault="00B30B4E" w:rsidP="00B30B4E">
      <w:pPr>
        <w:jc w:val="both"/>
        <w:rPr>
          <w:bCs/>
          <w:lang w:val="en-US"/>
        </w:rPr>
      </w:pPr>
      <w:r w:rsidRPr="00881CFE">
        <w:rPr>
          <w:b/>
          <w:bCs/>
          <w:lang w:val="en-US"/>
        </w:rPr>
        <w:t xml:space="preserve">Synopsis: </w:t>
      </w:r>
      <w:r w:rsidR="003C0ACB">
        <w:rPr>
          <w:bCs/>
          <w:lang w:val="en-US"/>
        </w:rPr>
        <w:t xml:space="preserve">Web browser XSS protection is not enabled or is disabled by the configuration of the X-XSS-Protection HTTP response header on the web </w:t>
      </w:r>
      <w:proofErr w:type="spellStart"/>
      <w:r w:rsidR="003C0ACB">
        <w:rPr>
          <w:bCs/>
          <w:lang w:val="en-US"/>
        </w:rPr>
        <w:t>sserver</w:t>
      </w:r>
      <w:proofErr w:type="spellEnd"/>
      <w:r w:rsidR="003C0ACB">
        <w:rPr>
          <w:bCs/>
          <w:lang w:val="en-US"/>
        </w:rPr>
        <w:t>.</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1982C57F" w:rsidR="00B30B4E" w:rsidRPr="00837386" w:rsidRDefault="00837386" w:rsidP="00B30B4E">
      <w:pPr>
        <w:jc w:val="both"/>
        <w:rPr>
          <w:lang w:val="en-US"/>
        </w:rPr>
      </w:pPr>
      <w:r>
        <w:rPr>
          <w:lang w:val="en-US"/>
        </w:rPr>
        <w:t>https://intra.ldil.de/wp-content/themes/twentysixteen?query=xlScCqlemqpPtXbFamPILdDaLkKPaUyLMWHUlAa......</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23049F">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BFE92" w14:textId="77777777" w:rsidR="00035D66" w:rsidRDefault="00035D66" w:rsidP="00520772">
      <w:pPr>
        <w:spacing w:after="0" w:line="240" w:lineRule="auto"/>
      </w:pPr>
      <w:r>
        <w:separator/>
      </w:r>
    </w:p>
  </w:endnote>
  <w:endnote w:type="continuationSeparator" w:id="0">
    <w:p w14:paraId="7327B7E8" w14:textId="77777777" w:rsidR="00035D66" w:rsidRDefault="00035D66"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A3BB8" w:rsidRDefault="009A3BB8">
    <w:pPr>
      <w:pStyle w:val="Alatunniste"/>
      <w:rPr>
        <w:noProof/>
      </w:rPr>
    </w:pPr>
  </w:p>
  <w:p w14:paraId="76303E37" w14:textId="77777777" w:rsidR="009A3BB8" w:rsidRDefault="009A3BB8">
    <w:pPr>
      <w:pStyle w:val="Alatunniste"/>
      <w:rPr>
        <w:noProof/>
      </w:rPr>
    </w:pPr>
  </w:p>
  <w:p w14:paraId="33CFCA07" w14:textId="77777777" w:rsidR="009A3BB8" w:rsidRDefault="009A3BB8">
    <w:pPr>
      <w:pStyle w:val="Alatunniste"/>
      <w:rPr>
        <w:noProof/>
      </w:rPr>
    </w:pPr>
  </w:p>
  <w:p w14:paraId="458646BC" w14:textId="77777777" w:rsidR="009A3BB8" w:rsidRDefault="009A3BB8">
    <w:pPr>
      <w:pStyle w:val="Alatunniste"/>
      <w:rPr>
        <w:noProof/>
      </w:rPr>
    </w:pPr>
  </w:p>
  <w:p w14:paraId="6884AE4E" w14:textId="45983B4A" w:rsidR="009A3BB8" w:rsidRDefault="009A3BB8">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A3BB8" w:rsidRPr="00701321" w:rsidRDefault="009A3BB8"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7CC3" w14:textId="77777777" w:rsidR="00035D66" w:rsidRDefault="00035D66" w:rsidP="00520772">
      <w:pPr>
        <w:spacing w:after="0" w:line="240" w:lineRule="auto"/>
      </w:pPr>
      <w:r>
        <w:separator/>
      </w:r>
    </w:p>
  </w:footnote>
  <w:footnote w:type="continuationSeparator" w:id="0">
    <w:p w14:paraId="0EF31060" w14:textId="77777777" w:rsidR="00035D66" w:rsidRDefault="00035D66"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A3BB8" w:rsidRDefault="009A3BB8"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6BE62CBC" w:rsidR="009A3BB8" w:rsidRDefault="009A3BB8">
        <w:pPr>
          <w:pStyle w:val="Yltunniste"/>
          <w:jc w:val="right"/>
        </w:pPr>
        <w:r>
          <w:fldChar w:fldCharType="begin"/>
        </w:r>
        <w:r>
          <w:instrText>PAGE   \* MERGEFORMAT</w:instrText>
        </w:r>
        <w:r>
          <w:fldChar w:fldCharType="separate"/>
        </w:r>
        <w:r w:rsidR="00DE170A">
          <w:rPr>
            <w:noProof/>
          </w:rPr>
          <w:t>2</w:t>
        </w:r>
        <w:r>
          <w:fldChar w:fldCharType="end"/>
        </w:r>
      </w:p>
    </w:sdtContent>
  </w:sdt>
  <w:p w14:paraId="4EA160FF" w14:textId="07A76E15" w:rsidR="009A3BB8" w:rsidRDefault="009A3BB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47510187" w:rsidR="009A3BB8" w:rsidRDefault="009A3BB8">
        <w:pPr>
          <w:pStyle w:val="Yltunniste"/>
          <w:jc w:val="right"/>
        </w:pPr>
        <w:r>
          <w:fldChar w:fldCharType="begin"/>
        </w:r>
        <w:r>
          <w:instrText>PAGE   \* MERGEFORMAT</w:instrText>
        </w:r>
        <w:r>
          <w:fldChar w:fldCharType="separate"/>
        </w:r>
        <w:r w:rsidR="00DE170A">
          <w:rPr>
            <w:noProof/>
          </w:rPr>
          <w:t>1</w:t>
        </w:r>
        <w:r>
          <w:fldChar w:fldCharType="end"/>
        </w:r>
      </w:p>
    </w:sdtContent>
  </w:sdt>
  <w:p w14:paraId="5596D67B" w14:textId="28565D9D" w:rsidR="009A3BB8" w:rsidRDefault="009A3BB8">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29"/>
  </w:num>
  <w:num w:numId="4">
    <w:abstractNumId w:val="21"/>
  </w:num>
  <w:num w:numId="5">
    <w:abstractNumId w:val="25"/>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2"/>
  </w:num>
  <w:num w:numId="17">
    <w:abstractNumId w:val="19"/>
  </w:num>
  <w:num w:numId="18">
    <w:abstractNumId w:val="33"/>
  </w:num>
  <w:num w:numId="19">
    <w:abstractNumId w:val="7"/>
  </w:num>
  <w:num w:numId="20">
    <w:abstractNumId w:val="34"/>
  </w:num>
  <w:num w:numId="21">
    <w:abstractNumId w:val="27"/>
  </w:num>
  <w:num w:numId="22">
    <w:abstractNumId w:val="20"/>
  </w:num>
  <w:num w:numId="23">
    <w:abstractNumId w:val="5"/>
  </w:num>
  <w:num w:numId="24">
    <w:abstractNumId w:val="10"/>
  </w:num>
  <w:num w:numId="25">
    <w:abstractNumId w:val="35"/>
  </w:num>
  <w:num w:numId="26">
    <w:abstractNumId w:val="6"/>
  </w:num>
  <w:num w:numId="27">
    <w:abstractNumId w:val="31"/>
  </w:num>
  <w:num w:numId="28">
    <w:abstractNumId w:val="2"/>
  </w:num>
  <w:num w:numId="29">
    <w:abstractNumId w:val="8"/>
  </w:num>
  <w:num w:numId="30">
    <w:abstractNumId w:val="22"/>
  </w:num>
  <w:num w:numId="31">
    <w:abstractNumId w:val="14"/>
  </w:num>
  <w:num w:numId="32">
    <w:abstractNumId w:val="28"/>
  </w:num>
  <w:num w:numId="33">
    <w:abstractNumId w:val="15"/>
  </w:num>
  <w:num w:numId="34">
    <w:abstractNumId w:val="3"/>
  </w:num>
  <w:num w:numId="35">
    <w:abstractNumId w:val="30"/>
  </w:num>
  <w:num w:numId="36">
    <w:abstractNumId w:val="2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63E00"/>
    <w:rsid w:val="00670C27"/>
    <w:rsid w:val="006723A3"/>
    <w:rsid w:val="00674A17"/>
    <w:rsid w:val="006766F6"/>
    <w:rsid w:val="00682035"/>
    <w:rsid w:val="00691307"/>
    <w:rsid w:val="0069343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6B5E"/>
    <w:rsid w:val="0097057B"/>
    <w:rsid w:val="00975B3F"/>
    <w:rsid w:val="009A3BB8"/>
    <w:rsid w:val="009B5325"/>
    <w:rsid w:val="009C2537"/>
    <w:rsid w:val="009D1714"/>
    <w:rsid w:val="009E0DDA"/>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66D4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EF7F38"/>
    <w:rsid w:val="00F16D1C"/>
    <w:rsid w:val="00F222D4"/>
    <w:rsid w:val="00F2347E"/>
    <w:rsid w:val="00F25C24"/>
    <w:rsid w:val="00F347CF"/>
    <w:rsid w:val="00F37D61"/>
    <w:rsid w:val="00F52B44"/>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94816B-C722-4B74-8E21-3BE06ABB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2463</Words>
  <Characters>14043</Characters>
  <Application>Microsoft Office Word</Application>
  <DocSecurity>0</DocSecurity>
  <Lines>117</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2017-12-27T13:00:00Z</dcterms:created>
  <dcterms:modified xsi:type="dcterms:W3CDTF">2017-12-29T19:53:00Z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