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41BD" w14:textId="0E27DC69" w:rsidR="00E43CB5" w:rsidRPr="00E43CB5" w:rsidRDefault="00000000" w:rsidP="00BA7AD0">
      <w:pPr>
        <w:pStyle w:val="Heading3"/>
      </w:pPr>
      <w:bookmarkStart w:id="0" w:name="__RefHeading__6046_1395105379"/>
      <w:r>
        <w:t xml:space="preserve">Test </w:t>
      </w:r>
      <w:r w:rsidR="009371BD">
        <w:t>0</w:t>
      </w:r>
      <w:r w:rsidR="003F3F26">
        <w:t>6</w:t>
      </w:r>
      <w:r w:rsidR="009371BD">
        <w:t>0-</w:t>
      </w:r>
      <w:r w:rsidR="000B272F">
        <w:t>0</w:t>
      </w:r>
      <w:r w:rsidR="003F19EA">
        <w:t>9</w:t>
      </w:r>
      <w:r w:rsidR="009371BD">
        <w:t>-</w:t>
      </w:r>
      <w:bookmarkEnd w:id="0"/>
      <w:r w:rsidR="00917A8D">
        <w:t>0</w:t>
      </w:r>
      <w:r w:rsidR="007679AF">
        <w:t>1</w:t>
      </w:r>
      <w:r w:rsidR="00917A8D">
        <w:t xml:space="preserve"> </w:t>
      </w:r>
      <w:r w:rsidR="007D0649">
        <w:t>O</w:t>
      </w:r>
      <w:r w:rsidR="003F19EA">
        <w:t>UT</w:t>
      </w:r>
      <w:r w:rsidR="00AF4D42">
        <w:t xml:space="preserve"> Command</w:t>
      </w:r>
      <w:r w:rsidR="00E258B1">
        <w:t xml:space="preserve"> </w:t>
      </w:r>
    </w:p>
    <w:p w14:paraId="72923FD2" w14:textId="509861F4" w:rsidR="003F3F26" w:rsidRDefault="003F3F26" w:rsidP="003F3F26">
      <w:r>
        <w:t xml:space="preserve">Determine proper </w:t>
      </w:r>
      <w:r w:rsidR="00F96313">
        <w:t xml:space="preserve">use of </w:t>
      </w:r>
      <w:r w:rsidR="00AF4D42">
        <w:t xml:space="preserve">the </w:t>
      </w:r>
      <w:proofErr w:type="gramStart"/>
      <w:r w:rsidR="003F19EA">
        <w:t>OUT</w:t>
      </w:r>
      <w:r w:rsidR="00AF4D42">
        <w:t xml:space="preserve"> command</w:t>
      </w:r>
      <w:proofErr w:type="gramEnd"/>
      <w:r w:rsidR="00AF4D42">
        <w:t xml:space="preserve"> code 0x6</w:t>
      </w:r>
      <w:r w:rsidR="003F19EA">
        <w:t>8</w:t>
      </w:r>
      <w:r w:rsidR="000E0347">
        <w:t xml:space="preserve"> </w:t>
      </w:r>
      <w:r w:rsidR="003F19EA">
        <w:t xml:space="preserve">(Table 13) </w:t>
      </w:r>
      <w:r w:rsidR="000E0347">
        <w:t xml:space="preserve">and </w:t>
      </w:r>
      <w:r w:rsidR="00AF4D42">
        <w:t>the proper processing of the</w:t>
      </w:r>
      <w:r w:rsidR="003F19EA">
        <w:t xml:space="preserve"> </w:t>
      </w:r>
      <w:r w:rsidR="007D0649">
        <w:t>O</w:t>
      </w:r>
      <w:r w:rsidR="006E66D1">
        <w:t>STATR</w:t>
      </w:r>
      <w:r>
        <w:t xml:space="preserve"> </w:t>
      </w:r>
      <w:r w:rsidR="00AF4D42">
        <w:t>response</w:t>
      </w:r>
      <w:r w:rsidR="006E66D1">
        <w:t>.</w:t>
      </w:r>
    </w:p>
    <w:p w14:paraId="57278D19" w14:textId="77777777" w:rsidR="000E0347" w:rsidRPr="0068485C" w:rsidRDefault="000E0347" w:rsidP="003F3F26"/>
    <w:p w14:paraId="6FA7557F" w14:textId="77777777" w:rsidR="003F3F26" w:rsidRDefault="003F3F26" w:rsidP="003F3F26">
      <w:pPr>
        <w:pStyle w:val="Heading5"/>
      </w:pPr>
      <w:r>
        <w:t>PD</w:t>
      </w:r>
    </w:p>
    <w:p w14:paraId="0BBA7EB0" w14:textId="78D7E3C6" w:rsidR="003F3F26" w:rsidRDefault="003F3F26" w:rsidP="003F3F26">
      <w:pPr>
        <w:pStyle w:val="Standard"/>
      </w:pPr>
      <w:r w:rsidRPr="003F3F26">
        <w:t>PD</w:t>
      </w:r>
      <w:r w:rsidR="003F19EA">
        <w:t xml:space="preserve"> process OUT command and make changes as necessary and </w:t>
      </w:r>
      <w:r w:rsidRPr="003F3F26">
        <w:t xml:space="preserve">return </w:t>
      </w:r>
      <w:r w:rsidR="00AF4D42">
        <w:t xml:space="preserve">standard </w:t>
      </w:r>
      <w:r w:rsidR="007D0649">
        <w:t>O</w:t>
      </w:r>
      <w:r w:rsidR="006E66D1">
        <w:t>STATR</w:t>
      </w:r>
      <w:r w:rsidR="00000538">
        <w:t xml:space="preserve"> </w:t>
      </w:r>
      <w:r w:rsidR="0070456F">
        <w:t>code</w:t>
      </w:r>
      <w:r w:rsidR="00AF4D42">
        <w:t xml:space="preserve"> as shown in Table </w:t>
      </w:r>
      <w:r w:rsidR="007D0649">
        <w:t>52</w:t>
      </w:r>
      <w:r w:rsidR="00927DEF">
        <w:t xml:space="preserve"> to provide </w:t>
      </w:r>
      <w:r w:rsidR="007D0649">
        <w:t>out</w:t>
      </w:r>
      <w:r w:rsidR="00927DEF">
        <w:t>put status</w:t>
      </w:r>
      <w:r w:rsidR="003F19EA">
        <w:t xml:space="preserve"> or an ACK to be followed by an OSTATR response to a POLL at a later point.</w:t>
      </w:r>
    </w:p>
    <w:p w14:paraId="2EA375D4" w14:textId="77777777" w:rsidR="003F3F26" w:rsidRDefault="003F3F26" w:rsidP="003F3F26">
      <w:pPr>
        <w:pStyle w:val="Standard"/>
      </w:pPr>
    </w:p>
    <w:p w14:paraId="51CB317F" w14:textId="77777777" w:rsidR="003F3F26" w:rsidRDefault="003F3F26" w:rsidP="003F3F26">
      <w:pPr>
        <w:pStyle w:val="Heading5"/>
      </w:pPr>
      <w:r>
        <w:t>ACU</w:t>
      </w:r>
    </w:p>
    <w:p w14:paraId="7B36AE99" w14:textId="21D72014" w:rsidR="003F3F26" w:rsidRDefault="003F3F26" w:rsidP="003F3F26">
      <w:pPr>
        <w:pStyle w:val="Standard"/>
      </w:pPr>
      <w:r>
        <w:t xml:space="preserve">ACU MUST </w:t>
      </w:r>
      <w:r w:rsidR="000E0347">
        <w:t>issue</w:t>
      </w:r>
      <w:r>
        <w:t xml:space="preserve"> valid </w:t>
      </w:r>
      <w:r w:rsidR="007D0649">
        <w:t>O</w:t>
      </w:r>
      <w:r w:rsidR="003F19EA">
        <w:t>UT</w:t>
      </w:r>
      <w:r w:rsidR="00AF4D42">
        <w:t xml:space="preserve"> command and </w:t>
      </w:r>
      <w:r w:rsidR="003F19EA">
        <w:t>control code values (Table 14).</w:t>
      </w:r>
    </w:p>
    <w:p w14:paraId="7BD52A99" w14:textId="77777777" w:rsidR="003F3F26" w:rsidRDefault="003F3F26" w:rsidP="003F3F26">
      <w:pPr>
        <w:pStyle w:val="Heading4"/>
      </w:pPr>
      <w:r>
        <w:t>Purpose</w:t>
      </w:r>
    </w:p>
    <w:p w14:paraId="3BD03C13" w14:textId="3D71EDBC" w:rsidR="003F3F26" w:rsidRDefault="003F3F26" w:rsidP="003F3F26">
      <w:r>
        <w:t xml:space="preserve">Used by ACU to </w:t>
      </w:r>
      <w:r w:rsidR="000E0347">
        <w:t xml:space="preserve">determine </w:t>
      </w:r>
      <w:r w:rsidR="003F19EA">
        <w:t>set</w:t>
      </w:r>
      <w:r w:rsidR="0070456F">
        <w:t xml:space="preserve"> </w:t>
      </w:r>
      <w:r w:rsidR="001D0152">
        <w:t>outputs</w:t>
      </w:r>
      <w:r w:rsidR="0070456F">
        <w:t xml:space="preserve"> if supported by the PD</w:t>
      </w:r>
      <w:r w:rsidR="000E0347">
        <w:t>.</w:t>
      </w:r>
      <w:r>
        <w:t xml:space="preserve"> </w:t>
      </w:r>
    </w:p>
    <w:p w14:paraId="3E9D6E8F" w14:textId="77777777" w:rsidR="003F3F26" w:rsidRDefault="003F3F26" w:rsidP="003F3F26">
      <w:pPr>
        <w:pStyle w:val="Heading4"/>
      </w:pPr>
      <w:r>
        <w:t>Criteria</w:t>
      </w:r>
    </w:p>
    <w:p w14:paraId="38A72CA1" w14:textId="77777777" w:rsidR="003F3F26" w:rsidRDefault="003F3F26" w:rsidP="003F3F26">
      <w:pPr>
        <w:pStyle w:val="Standard"/>
        <w:keepNext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0BF1821E" w14:textId="77777777" w:rsidTr="00D55769">
        <w:tc>
          <w:tcPr>
            <w:tcW w:w="4981" w:type="dxa"/>
          </w:tcPr>
          <w:p w14:paraId="0067FDAD" w14:textId="77777777" w:rsidR="003F3F26" w:rsidRDefault="003F3F26" w:rsidP="00D55769">
            <w:pPr>
              <w:pStyle w:val="Standard"/>
              <w:keepNext/>
            </w:pPr>
            <w:r>
              <w:t>Basic OSDP (PD)</w:t>
            </w:r>
          </w:p>
        </w:tc>
        <w:tc>
          <w:tcPr>
            <w:tcW w:w="4981" w:type="dxa"/>
          </w:tcPr>
          <w:p w14:paraId="307B7984" w14:textId="0B0340E4" w:rsidR="003F3F26" w:rsidRDefault="00AF4D42" w:rsidP="00D55769">
            <w:pPr>
              <w:pStyle w:val="Standard"/>
              <w:keepNext/>
            </w:pPr>
            <w:r>
              <w:t>Required</w:t>
            </w:r>
          </w:p>
        </w:tc>
      </w:tr>
      <w:tr w:rsidR="003F3F26" w14:paraId="438DB89C" w14:textId="77777777" w:rsidTr="00D55769">
        <w:tc>
          <w:tcPr>
            <w:tcW w:w="4981" w:type="dxa"/>
          </w:tcPr>
          <w:p w14:paraId="4B196D7F" w14:textId="77777777" w:rsidR="003F3F26" w:rsidRDefault="003F3F26" w:rsidP="003F3F26">
            <w:pPr>
              <w:pStyle w:val="Standard"/>
              <w:keepNext/>
            </w:pPr>
            <w:r>
              <w:t>Basic OSDP (ACU)</w:t>
            </w:r>
          </w:p>
        </w:tc>
        <w:tc>
          <w:tcPr>
            <w:tcW w:w="4981" w:type="dxa"/>
          </w:tcPr>
          <w:p w14:paraId="298A8E9C" w14:textId="33AFDE42" w:rsidR="003F3F26" w:rsidRDefault="003F19EA" w:rsidP="003F3F26">
            <w:pPr>
              <w:pStyle w:val="Standard"/>
              <w:keepNext/>
            </w:pPr>
            <w:r>
              <w:t>Optional</w:t>
            </w:r>
          </w:p>
        </w:tc>
      </w:tr>
      <w:tr w:rsidR="003F3F26" w14:paraId="56B9B57A" w14:textId="77777777" w:rsidTr="00D55769">
        <w:tc>
          <w:tcPr>
            <w:tcW w:w="4981" w:type="dxa"/>
          </w:tcPr>
          <w:p w14:paraId="2EF00C85" w14:textId="77777777" w:rsidR="003F3F26" w:rsidRDefault="003F3F26" w:rsidP="003F3F26">
            <w:pPr>
              <w:pStyle w:val="Standard"/>
              <w:keepNext/>
            </w:pPr>
            <w:r>
              <w:t>Secure Channel (PD)</w:t>
            </w:r>
          </w:p>
        </w:tc>
        <w:tc>
          <w:tcPr>
            <w:tcW w:w="4981" w:type="dxa"/>
          </w:tcPr>
          <w:p w14:paraId="4A1D079C" w14:textId="2D78B2D7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1D0152" w14:paraId="574A63C4" w14:textId="77777777" w:rsidTr="00D55769">
        <w:tc>
          <w:tcPr>
            <w:tcW w:w="4981" w:type="dxa"/>
          </w:tcPr>
          <w:p w14:paraId="2D73DFF0" w14:textId="77777777" w:rsidR="001D0152" w:rsidRDefault="001D0152" w:rsidP="001D0152">
            <w:pPr>
              <w:pStyle w:val="Standard"/>
              <w:keepNext/>
            </w:pPr>
            <w:r>
              <w:t>Secure Channel (ACU)</w:t>
            </w:r>
          </w:p>
        </w:tc>
        <w:tc>
          <w:tcPr>
            <w:tcW w:w="4981" w:type="dxa"/>
          </w:tcPr>
          <w:p w14:paraId="5162D320" w14:textId="1C4D84D3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322820FC" w14:textId="77777777" w:rsidTr="00D55769">
        <w:tc>
          <w:tcPr>
            <w:tcW w:w="4981" w:type="dxa"/>
          </w:tcPr>
          <w:p w14:paraId="5BE23AAE" w14:textId="77777777" w:rsidR="001D0152" w:rsidRDefault="001D0152" w:rsidP="001D0152">
            <w:pPr>
              <w:pStyle w:val="Standard"/>
              <w:keepNext/>
            </w:pPr>
            <w:r>
              <w:t>BIO Match (PD)</w:t>
            </w:r>
          </w:p>
        </w:tc>
        <w:tc>
          <w:tcPr>
            <w:tcW w:w="4981" w:type="dxa"/>
          </w:tcPr>
          <w:p w14:paraId="10F2154F" w14:textId="001AD579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243D9FE8" w14:textId="77777777" w:rsidTr="00D55769">
        <w:tc>
          <w:tcPr>
            <w:tcW w:w="4981" w:type="dxa"/>
          </w:tcPr>
          <w:p w14:paraId="4886409C" w14:textId="77777777" w:rsidR="001D0152" w:rsidRDefault="001D0152" w:rsidP="001D0152">
            <w:pPr>
              <w:pStyle w:val="Standard"/>
              <w:keepNext/>
            </w:pPr>
            <w:r>
              <w:t>BIO Match (ACU)</w:t>
            </w:r>
          </w:p>
        </w:tc>
        <w:tc>
          <w:tcPr>
            <w:tcW w:w="4981" w:type="dxa"/>
          </w:tcPr>
          <w:p w14:paraId="61696B13" w14:textId="55C8AE73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3F3F26" w14:paraId="1C2EBAC9" w14:textId="77777777" w:rsidTr="00D55769">
        <w:tc>
          <w:tcPr>
            <w:tcW w:w="4981" w:type="dxa"/>
          </w:tcPr>
          <w:p w14:paraId="6B2C3F40" w14:textId="77777777" w:rsidR="003F3F26" w:rsidRDefault="003F3F26" w:rsidP="003F3F26">
            <w:pPr>
              <w:pStyle w:val="Standard"/>
              <w:keepNext/>
            </w:pPr>
            <w:r>
              <w:t>BIO Read (PD)</w:t>
            </w:r>
          </w:p>
        </w:tc>
        <w:tc>
          <w:tcPr>
            <w:tcW w:w="4981" w:type="dxa"/>
          </w:tcPr>
          <w:p w14:paraId="1B836E64" w14:textId="6049128F" w:rsidR="003F3F26" w:rsidRDefault="003F3F26" w:rsidP="003F3F26">
            <w:pPr>
              <w:pStyle w:val="Standard"/>
              <w:keepNext/>
            </w:pPr>
            <w:r>
              <w:t>Required</w:t>
            </w:r>
          </w:p>
        </w:tc>
      </w:tr>
      <w:tr w:rsidR="001D0152" w14:paraId="40E12166" w14:textId="77777777" w:rsidTr="00D55769">
        <w:tc>
          <w:tcPr>
            <w:tcW w:w="4981" w:type="dxa"/>
          </w:tcPr>
          <w:p w14:paraId="47C07D4C" w14:textId="77777777" w:rsidR="001D0152" w:rsidRDefault="001D0152" w:rsidP="001D0152">
            <w:pPr>
              <w:pStyle w:val="Standard"/>
              <w:keepNext/>
            </w:pPr>
            <w:r>
              <w:t>BIO Read (ACU)</w:t>
            </w:r>
          </w:p>
        </w:tc>
        <w:tc>
          <w:tcPr>
            <w:tcW w:w="4981" w:type="dxa"/>
          </w:tcPr>
          <w:p w14:paraId="3E93A301" w14:textId="22A67878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3DD0C49C" w14:textId="77777777" w:rsidTr="00D55769">
        <w:tc>
          <w:tcPr>
            <w:tcW w:w="4981" w:type="dxa"/>
          </w:tcPr>
          <w:p w14:paraId="17CB1D33" w14:textId="77777777" w:rsidR="001D0152" w:rsidRDefault="001D0152" w:rsidP="001D0152">
            <w:pPr>
              <w:pStyle w:val="Standard"/>
              <w:keepNext/>
            </w:pPr>
            <w:r>
              <w:t>Extended Packet Mode (PD)</w:t>
            </w:r>
          </w:p>
        </w:tc>
        <w:tc>
          <w:tcPr>
            <w:tcW w:w="4981" w:type="dxa"/>
          </w:tcPr>
          <w:p w14:paraId="662BEA84" w14:textId="26F9C986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34193F61" w14:textId="77777777" w:rsidTr="00D55769">
        <w:tc>
          <w:tcPr>
            <w:tcW w:w="4981" w:type="dxa"/>
          </w:tcPr>
          <w:p w14:paraId="0D137BC7" w14:textId="77777777" w:rsidR="001D0152" w:rsidRDefault="001D0152" w:rsidP="001D0152">
            <w:pPr>
              <w:pStyle w:val="Standard"/>
              <w:keepNext/>
            </w:pPr>
            <w:r>
              <w:t>Extended Packet Mode (ACU)</w:t>
            </w:r>
          </w:p>
        </w:tc>
        <w:tc>
          <w:tcPr>
            <w:tcW w:w="4981" w:type="dxa"/>
          </w:tcPr>
          <w:p w14:paraId="3F80325F" w14:textId="4FB077DF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2C3FBAB9" w14:textId="77777777" w:rsidTr="00D55769">
        <w:tc>
          <w:tcPr>
            <w:tcW w:w="4981" w:type="dxa"/>
          </w:tcPr>
          <w:p w14:paraId="47A1300C" w14:textId="77777777" w:rsidR="001D0152" w:rsidRDefault="001D0152" w:rsidP="001D0152">
            <w:pPr>
              <w:pStyle w:val="Standard"/>
              <w:keepNext/>
            </w:pPr>
            <w:r>
              <w:t>Extended Read/Write (PD)</w:t>
            </w:r>
          </w:p>
        </w:tc>
        <w:tc>
          <w:tcPr>
            <w:tcW w:w="4981" w:type="dxa"/>
          </w:tcPr>
          <w:p w14:paraId="0DBD24F6" w14:textId="7EE6788C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  <w:tr w:rsidR="001D0152" w14:paraId="2D47AF07" w14:textId="77777777" w:rsidTr="00D55769">
        <w:tc>
          <w:tcPr>
            <w:tcW w:w="4981" w:type="dxa"/>
          </w:tcPr>
          <w:p w14:paraId="23EB1E61" w14:textId="77777777" w:rsidR="001D0152" w:rsidRDefault="001D0152" w:rsidP="001D0152">
            <w:pPr>
              <w:pStyle w:val="Standard"/>
              <w:keepNext/>
            </w:pPr>
            <w:r>
              <w:t>Extended Read/Write (ACU)</w:t>
            </w:r>
          </w:p>
        </w:tc>
        <w:tc>
          <w:tcPr>
            <w:tcW w:w="4981" w:type="dxa"/>
          </w:tcPr>
          <w:p w14:paraId="0DF93A8B" w14:textId="551E4893" w:rsidR="001D0152" w:rsidRDefault="001D0152" w:rsidP="001D0152">
            <w:pPr>
              <w:pStyle w:val="Standard"/>
              <w:keepNext/>
            </w:pPr>
            <w:r>
              <w:t>Optional</w:t>
            </w:r>
          </w:p>
        </w:tc>
      </w:tr>
    </w:tbl>
    <w:p w14:paraId="321272CA" w14:textId="77777777" w:rsidR="003F3F26" w:rsidRDefault="003F3F26" w:rsidP="003F3F26">
      <w:pPr>
        <w:pStyle w:val="Heading4"/>
      </w:pPr>
      <w:r>
        <w:t>Test action</w:t>
      </w:r>
    </w:p>
    <w:p w14:paraId="08CA81A8" w14:textId="77777777" w:rsidR="003F3F26" w:rsidRDefault="003F3F26" w:rsidP="003F3F26">
      <w:pPr>
        <w:pStyle w:val="Heading5"/>
      </w:pPr>
      <w:r>
        <w:t>PD Test</w:t>
      </w:r>
    </w:p>
    <w:p w14:paraId="6676CB1D" w14:textId="25F47259" w:rsidR="00DA2797" w:rsidRDefault="00AF4D42" w:rsidP="003F3F26">
      <w:pPr>
        <w:pStyle w:val="Standard"/>
        <w:keepNext/>
      </w:pPr>
      <w:r>
        <w:t xml:space="preserve">When sent </w:t>
      </w:r>
      <w:r w:rsidR="000E0347">
        <w:t>a</w:t>
      </w:r>
      <w:r w:rsidR="00927DEF">
        <w:t>n</w:t>
      </w:r>
      <w:r>
        <w:t xml:space="preserve"> </w:t>
      </w:r>
      <w:r w:rsidR="003F19EA">
        <w:t xml:space="preserve">OUT the PD will either confirm or update the outputs to the corresponding control code values in Table 14. </w:t>
      </w:r>
      <w:r w:rsidR="00DA2797">
        <w:t>The PD can NAK if outputs are not supported and this is shown (reports 0 outputs) in the PDCAP response.</w:t>
      </w:r>
    </w:p>
    <w:p w14:paraId="5BDCCE70" w14:textId="772BCD7A" w:rsidR="003F3F26" w:rsidRDefault="000E0347" w:rsidP="003F3F26">
      <w:pPr>
        <w:pStyle w:val="Standard"/>
        <w:keepNext/>
      </w:pPr>
      <w:r>
        <w:t xml:space="preserve"> </w:t>
      </w:r>
    </w:p>
    <w:p w14:paraId="40E898AC" w14:textId="77777777" w:rsidR="003F3F26" w:rsidRDefault="003F3F26" w:rsidP="003F3F26">
      <w:pPr>
        <w:pStyle w:val="Heading5"/>
      </w:pPr>
      <w:r>
        <w:t>ACU Test</w:t>
      </w:r>
    </w:p>
    <w:p w14:paraId="3635CD3C" w14:textId="2FD3DA8E" w:rsidR="003F3F26" w:rsidRDefault="003F3F26" w:rsidP="003F3F26">
      <w:pPr>
        <w:pStyle w:val="Standard"/>
      </w:pPr>
      <w:r>
        <w:t>ACU send osdp_</w:t>
      </w:r>
      <w:r w:rsidR="00DA2797">
        <w:t>OUT</w:t>
      </w:r>
      <w:r>
        <w:t xml:space="preserve"> 0x</w:t>
      </w:r>
      <w:r w:rsidR="000E0347">
        <w:t>6</w:t>
      </w:r>
      <w:r w:rsidR="00DA2797">
        <w:t>8</w:t>
      </w:r>
      <w:r w:rsidR="00AF4D42">
        <w:t xml:space="preserve"> command </w:t>
      </w:r>
      <w:r>
        <w:t>and process</w:t>
      </w:r>
      <w:r w:rsidR="00F33BD3">
        <w:t>es</w:t>
      </w:r>
      <w:r>
        <w:t xml:space="preserve"> </w:t>
      </w:r>
      <w:r w:rsidR="00DA2797">
        <w:t xml:space="preserve">PD response (ACK, NAK, </w:t>
      </w:r>
      <w:proofErr w:type="spellStart"/>
      <w:r w:rsidR="00216D58">
        <w:t>osdp_</w:t>
      </w:r>
      <w:r w:rsidR="001D0152">
        <w:t>O</w:t>
      </w:r>
      <w:r w:rsidR="000A22BA">
        <w:t>STATR</w:t>
      </w:r>
      <w:proofErr w:type="spellEnd"/>
      <w:r w:rsidR="00DA2797">
        <w:t>)</w:t>
      </w:r>
      <w:r w:rsidR="00216D58">
        <w:t xml:space="preserve"> </w:t>
      </w:r>
      <w:r>
        <w:t>response accordingly.</w:t>
      </w:r>
    </w:p>
    <w:p w14:paraId="490F4CF7" w14:textId="77777777" w:rsidR="003F3F26" w:rsidRDefault="003F3F26" w:rsidP="003F3F26">
      <w:pPr>
        <w:pStyle w:val="Heading4"/>
      </w:pPr>
      <w:r>
        <w:t>Development status</w:t>
      </w:r>
    </w:p>
    <w:p w14:paraId="23A35EAE" w14:textId="77777777" w:rsidR="00A8098F" w:rsidRDefault="00A8098F" w:rsidP="00A8098F">
      <w:pPr>
        <w:pStyle w:val="Standard"/>
      </w:pPr>
      <w:r>
        <w:t xml:space="preserve">Available in libosdp-conformance </w:t>
      </w:r>
      <w:hyperlink r:id="rId6" w:history="1">
        <w:r>
          <w:rPr>
            <w:rStyle w:val="Hyperlink"/>
          </w:rPr>
          <w:t>1.31-Build-4</w:t>
        </w:r>
      </w:hyperlink>
    </w:p>
    <w:p w14:paraId="3E85EF36" w14:textId="77777777" w:rsidR="003F3F26" w:rsidRDefault="003F3F26" w:rsidP="003F3F26">
      <w:pPr>
        <w:pStyle w:val="Heading4"/>
      </w:pPr>
      <w:r>
        <w:t>Test Results</w:t>
      </w:r>
    </w:p>
    <w:p w14:paraId="3336CCD9" w14:textId="77777777" w:rsidR="003F3F26" w:rsidRDefault="003F3F26" w:rsidP="003F3F26">
      <w:pPr>
        <w:pStyle w:val="Standard"/>
      </w:pPr>
      <w:r>
        <w:t>JSON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1"/>
        <w:gridCol w:w="4981"/>
      </w:tblGrid>
      <w:tr w:rsidR="003F3F26" w14:paraId="798C9098" w14:textId="77777777" w:rsidTr="00D55769">
        <w:tc>
          <w:tcPr>
            <w:tcW w:w="4981" w:type="dxa"/>
          </w:tcPr>
          <w:p w14:paraId="585D7FB1" w14:textId="77777777" w:rsidR="003F3F26" w:rsidRDefault="003F3F26" w:rsidP="00D55769">
            <w:pPr>
              <w:pStyle w:val="Standard"/>
            </w:pPr>
            <w:r>
              <w:t>test</w:t>
            </w:r>
          </w:p>
        </w:tc>
        <w:tc>
          <w:tcPr>
            <w:tcW w:w="4981" w:type="dxa"/>
          </w:tcPr>
          <w:p w14:paraId="15F8817F" w14:textId="20166C46" w:rsidR="003F3F26" w:rsidRDefault="003F3F26" w:rsidP="00D55769">
            <w:pPr>
              <w:pStyle w:val="Standard"/>
            </w:pPr>
            <w:r>
              <w:t>060-0</w:t>
            </w:r>
            <w:r w:rsidR="00DA2797">
              <w:t>9</w:t>
            </w:r>
            <w:r>
              <w:t>-</w:t>
            </w:r>
            <w:r w:rsidR="00AF4D42">
              <w:t>1</w:t>
            </w:r>
          </w:p>
        </w:tc>
      </w:tr>
      <w:tr w:rsidR="003F3F26" w14:paraId="51AB38D7" w14:textId="77777777" w:rsidTr="00D55769">
        <w:tc>
          <w:tcPr>
            <w:tcW w:w="4981" w:type="dxa"/>
          </w:tcPr>
          <w:p w14:paraId="2093FE8C" w14:textId="77777777" w:rsidR="003F3F26" w:rsidRDefault="003F3F26" w:rsidP="00D55769">
            <w:pPr>
              <w:pStyle w:val="Standard"/>
            </w:pPr>
            <w:r>
              <w:t>test-status</w:t>
            </w:r>
          </w:p>
        </w:tc>
        <w:tc>
          <w:tcPr>
            <w:tcW w:w="4981" w:type="dxa"/>
          </w:tcPr>
          <w:p w14:paraId="689906EA" w14:textId="77777777" w:rsidR="003F3F26" w:rsidRDefault="003F3F26" w:rsidP="00D55769">
            <w:pPr>
              <w:pStyle w:val="Standard"/>
            </w:pPr>
            <w:r>
              <w:t>1 for pass, 0 for fail</w:t>
            </w:r>
          </w:p>
        </w:tc>
      </w:tr>
    </w:tbl>
    <w:p w14:paraId="30B07748" w14:textId="77777777" w:rsidR="003F3F26" w:rsidRDefault="003F3F26" w:rsidP="003F3F26">
      <w:pPr>
        <w:pStyle w:val="Standard"/>
      </w:pPr>
    </w:p>
    <w:p w14:paraId="7CDCE390" w14:textId="77777777" w:rsidR="003F3F26" w:rsidRDefault="003F3F26" w:rsidP="003F3F26">
      <w:pPr>
        <w:pStyle w:val="Heading4"/>
      </w:pPr>
      <w:r>
        <w:t>Revision History</w:t>
      </w:r>
    </w:p>
    <w:p w14:paraId="4113066C" w14:textId="775F5EA9" w:rsidR="003F3F26" w:rsidRPr="00000B67" w:rsidRDefault="003F3F26" w:rsidP="003F3F26">
      <w:pPr>
        <w:pStyle w:val="Standard"/>
        <w:rPr>
          <w:b/>
          <w:bCs/>
        </w:rPr>
      </w:pPr>
      <w:r>
        <w:t>New as 2.</w:t>
      </w:r>
      <w:r w:rsidR="00A8098F">
        <w:t>4</w:t>
      </w:r>
      <w:r>
        <w:t>.2</w:t>
      </w:r>
    </w:p>
    <w:p w14:paraId="66CFDF6C" w14:textId="3DF1713E" w:rsidR="00E31A65" w:rsidRPr="00000B67" w:rsidRDefault="00E31A65" w:rsidP="003F3F26">
      <w:pPr>
        <w:pStyle w:val="Heading4"/>
        <w:rPr>
          <w:b/>
          <w:bCs/>
        </w:rPr>
      </w:pPr>
    </w:p>
    <w:sectPr w:rsidR="00E31A65" w:rsidRPr="00000B67"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C23A3B" w14:textId="77777777" w:rsidR="00564E43" w:rsidRDefault="00564E43">
      <w:r>
        <w:separator/>
      </w:r>
    </w:p>
  </w:endnote>
  <w:endnote w:type="continuationSeparator" w:id="0">
    <w:p w14:paraId="2C819B3D" w14:textId="77777777" w:rsidR="00564E43" w:rsidRDefault="0056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Yu Mincho">
    <w:altName w:val="游明朝"/>
    <w:charset w:val="8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F9483" w14:textId="77777777" w:rsidR="001569E9" w:rsidRDefault="00000000">
    <w:pPr>
      <w:pStyle w:val="Footer"/>
    </w:pPr>
    <w:r>
      <w:t>OSDP Verified</w:t>
    </w:r>
    <w:r>
      <w:tab/>
      <w:t>Test Descriptions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2F57DF" w14:textId="77777777" w:rsidR="00564E43" w:rsidRDefault="00564E43">
      <w:r>
        <w:rPr>
          <w:color w:val="000000"/>
        </w:rPr>
        <w:ptab w:relativeTo="margin" w:alignment="center" w:leader="none"/>
      </w:r>
    </w:p>
  </w:footnote>
  <w:footnote w:type="continuationSeparator" w:id="0">
    <w:p w14:paraId="308ECA79" w14:textId="77777777" w:rsidR="00564E43" w:rsidRDefault="00564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056"/>
    <w:rsid w:val="00000538"/>
    <w:rsid w:val="00000B67"/>
    <w:rsid w:val="00014D73"/>
    <w:rsid w:val="000226A4"/>
    <w:rsid w:val="000A22BA"/>
    <w:rsid w:val="000B272F"/>
    <w:rsid w:val="000B4C63"/>
    <w:rsid w:val="000D7FFE"/>
    <w:rsid w:val="000E0347"/>
    <w:rsid w:val="0010265E"/>
    <w:rsid w:val="00116539"/>
    <w:rsid w:val="001356FF"/>
    <w:rsid w:val="00154345"/>
    <w:rsid w:val="001D0152"/>
    <w:rsid w:val="00216D58"/>
    <w:rsid w:val="00267069"/>
    <w:rsid w:val="002930EA"/>
    <w:rsid w:val="002F4D51"/>
    <w:rsid w:val="0036132F"/>
    <w:rsid w:val="003A39AB"/>
    <w:rsid w:val="003F19EA"/>
    <w:rsid w:val="003F3F26"/>
    <w:rsid w:val="0043270C"/>
    <w:rsid w:val="004423C1"/>
    <w:rsid w:val="004C2331"/>
    <w:rsid w:val="004D307B"/>
    <w:rsid w:val="004D333C"/>
    <w:rsid w:val="00564E43"/>
    <w:rsid w:val="005D0B12"/>
    <w:rsid w:val="00635CA7"/>
    <w:rsid w:val="00664D67"/>
    <w:rsid w:val="0068485C"/>
    <w:rsid w:val="006A71A3"/>
    <w:rsid w:val="006E2C51"/>
    <w:rsid w:val="006E66D1"/>
    <w:rsid w:val="0070456F"/>
    <w:rsid w:val="007314EA"/>
    <w:rsid w:val="007625FD"/>
    <w:rsid w:val="007679AF"/>
    <w:rsid w:val="007D0649"/>
    <w:rsid w:val="00836C59"/>
    <w:rsid w:val="0087711B"/>
    <w:rsid w:val="008B6693"/>
    <w:rsid w:val="008E5058"/>
    <w:rsid w:val="00917A8D"/>
    <w:rsid w:val="00927DEF"/>
    <w:rsid w:val="009371BD"/>
    <w:rsid w:val="00980C73"/>
    <w:rsid w:val="00990DA1"/>
    <w:rsid w:val="00A103F6"/>
    <w:rsid w:val="00A20B4A"/>
    <w:rsid w:val="00A8098F"/>
    <w:rsid w:val="00A84C79"/>
    <w:rsid w:val="00AF4D42"/>
    <w:rsid w:val="00BA7AD0"/>
    <w:rsid w:val="00BD3056"/>
    <w:rsid w:val="00C15BAC"/>
    <w:rsid w:val="00C63746"/>
    <w:rsid w:val="00CE2D6B"/>
    <w:rsid w:val="00D046A2"/>
    <w:rsid w:val="00D85278"/>
    <w:rsid w:val="00DA2797"/>
    <w:rsid w:val="00E258B1"/>
    <w:rsid w:val="00E31A65"/>
    <w:rsid w:val="00E43CB5"/>
    <w:rsid w:val="00E92446"/>
    <w:rsid w:val="00EA6422"/>
    <w:rsid w:val="00ED248C"/>
    <w:rsid w:val="00F33BD3"/>
    <w:rsid w:val="00F715F3"/>
    <w:rsid w:val="00F96313"/>
    <w:rsid w:val="00FC6DBF"/>
    <w:rsid w:val="00FD0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C9EE"/>
  <w15:docId w15:val="{083DEFDD-9A27-4F3B-A2A4-95DF2BC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31A6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31A65"/>
    <w:pPr>
      <w:keepNext/>
      <w:keepLines/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hAnsi="Liberation Mono" w:cs="Liberation Mono"/>
      <w:sz w:val="20"/>
      <w:szCs w:val="20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1">
    <w:name w:val="Contents 1"/>
    <w:basedOn w:val="Index"/>
    <w:pPr>
      <w:tabs>
        <w:tab w:val="right" w:leader="dot" w:pos="9972"/>
      </w:tabs>
    </w:pPr>
  </w:style>
  <w:style w:type="paragraph" w:customStyle="1" w:styleId="Contents2">
    <w:name w:val="Contents 2"/>
    <w:basedOn w:val="Index"/>
    <w:pPr>
      <w:tabs>
        <w:tab w:val="right" w:leader="dot" w:pos="9972"/>
      </w:tabs>
      <w:ind w:left="283"/>
    </w:pPr>
  </w:style>
  <w:style w:type="paragraph" w:customStyle="1" w:styleId="Contents3">
    <w:name w:val="Contents 3"/>
    <w:basedOn w:val="Index"/>
    <w:pPr>
      <w:tabs>
        <w:tab w:val="right" w:leader="dot" w:pos="9972"/>
      </w:tabs>
      <w:ind w:left="566"/>
    </w:p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Heading4Char">
    <w:name w:val="Heading 4 Char"/>
    <w:basedOn w:val="DefaultParagraphFont"/>
    <w:link w:val="Heading4"/>
    <w:uiPriority w:val="9"/>
    <w:rsid w:val="00E31A6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Heading5Char">
    <w:name w:val="Heading 5 Char"/>
    <w:basedOn w:val="DefaultParagraphFont"/>
    <w:link w:val="Heading5"/>
    <w:uiPriority w:val="9"/>
    <w:rsid w:val="00E31A65"/>
    <w:rPr>
      <w:rFonts w:asciiTheme="majorHAnsi" w:eastAsiaTheme="majorEastAsia" w:hAnsiTheme="majorHAnsi" w:cs="Mangal"/>
      <w:color w:val="2F5496" w:themeColor="accent1" w:themeShade="BF"/>
      <w:szCs w:val="21"/>
    </w:rPr>
  </w:style>
  <w:style w:type="table" w:styleId="TableGrid">
    <w:name w:val="Table Grid"/>
    <w:basedOn w:val="TableNormal"/>
    <w:uiPriority w:val="39"/>
    <w:rsid w:val="00E31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226A4"/>
    <w:pPr>
      <w:widowControl/>
      <w:suppressAutoHyphens w:val="0"/>
      <w:autoSpaceDN/>
      <w:spacing w:before="100" w:beforeAutospacing="1" w:after="144" w:line="276" w:lineRule="auto"/>
      <w:textAlignment w:val="auto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styleId="Hyperlink">
    <w:name w:val="Hyperlink"/>
    <w:basedOn w:val="DefaultParagraphFont"/>
    <w:semiHidden/>
    <w:unhideWhenUsed/>
    <w:rsid w:val="00A8098F"/>
    <w:rPr>
      <w:color w:val="0563C1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ecurity-Industry-Association/libosdp-conformance/releases/tag/1.31-4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D'Agostino</dc:creator>
  <cp:lastModifiedBy>Salvatore D'Agostino</cp:lastModifiedBy>
  <cp:revision>5</cp:revision>
  <dcterms:created xsi:type="dcterms:W3CDTF">2022-12-08T14:05:00Z</dcterms:created>
  <dcterms:modified xsi:type="dcterms:W3CDTF">2022-12-16T19:42:00Z</dcterms:modified>
</cp:coreProperties>
</file>