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E41BD" w14:textId="542E79DA" w:rsidR="00E43CB5" w:rsidRPr="00E43CB5" w:rsidRDefault="00000000" w:rsidP="00BA7AD0">
      <w:pPr>
        <w:pStyle w:val="Heading3"/>
      </w:pPr>
      <w:bookmarkStart w:id="0" w:name="__RefHeading__6046_1395105379"/>
      <w:r>
        <w:t xml:space="preserve">Test </w:t>
      </w:r>
      <w:r w:rsidR="009371BD">
        <w:t>0</w:t>
      </w:r>
      <w:r w:rsidR="003F3F26">
        <w:t>6</w:t>
      </w:r>
      <w:r w:rsidR="009371BD">
        <w:t>0-</w:t>
      </w:r>
      <w:r w:rsidR="00C938AC">
        <w:t>10</w:t>
      </w:r>
      <w:r w:rsidR="009371BD">
        <w:t>-</w:t>
      </w:r>
      <w:bookmarkEnd w:id="0"/>
      <w:r w:rsidR="00917A8D">
        <w:t>0</w:t>
      </w:r>
      <w:r w:rsidR="007679AF">
        <w:t>1</w:t>
      </w:r>
      <w:r w:rsidR="00C938AC">
        <w:t xml:space="preserve"> to 060-10-09</w:t>
      </w:r>
      <w:r w:rsidR="00917A8D">
        <w:t xml:space="preserve"> </w:t>
      </w:r>
      <w:r w:rsidR="00C938AC">
        <w:t>LED</w:t>
      </w:r>
      <w:r w:rsidR="00AF4D42">
        <w:t xml:space="preserve"> Command</w:t>
      </w:r>
      <w:r w:rsidR="00C938AC">
        <w:t>s</w:t>
      </w:r>
    </w:p>
    <w:p w14:paraId="72923FD2" w14:textId="44D27D79" w:rsidR="003F3F26" w:rsidRDefault="003F3F26" w:rsidP="003F3F26">
      <w:r>
        <w:t xml:space="preserve">Determine proper </w:t>
      </w:r>
      <w:r w:rsidR="00F96313">
        <w:t xml:space="preserve">use of </w:t>
      </w:r>
      <w:r w:rsidR="00AF4D42">
        <w:t xml:space="preserve">the </w:t>
      </w:r>
      <w:r w:rsidR="00C938AC">
        <w:t>LED</w:t>
      </w:r>
      <w:r w:rsidR="00AF4D42">
        <w:t xml:space="preserve"> command code 0x6</w:t>
      </w:r>
      <w:r w:rsidR="00C938AC">
        <w:t>9</w:t>
      </w:r>
      <w:r w:rsidR="000E0347">
        <w:t xml:space="preserve"> </w:t>
      </w:r>
      <w:r w:rsidR="00C938AC">
        <w:t xml:space="preserve">and associated control code values </w:t>
      </w:r>
      <w:r w:rsidR="003F19EA">
        <w:t>(Table</w:t>
      </w:r>
      <w:r w:rsidR="00C938AC">
        <w:t>s</w:t>
      </w:r>
      <w:r w:rsidR="003F19EA">
        <w:t xml:space="preserve"> 1</w:t>
      </w:r>
      <w:r w:rsidR="00C938AC">
        <w:t>5, 16, 17, 18</w:t>
      </w:r>
      <w:r w:rsidR="003F19EA">
        <w:t xml:space="preserve">) </w:t>
      </w:r>
      <w:r w:rsidR="00C938AC">
        <w:t xml:space="preserve">for temporary and permanent LED displays </w:t>
      </w:r>
      <w:r w:rsidR="000E0347">
        <w:t xml:space="preserve">and </w:t>
      </w:r>
      <w:r w:rsidR="00AF4D42">
        <w:t>the proper processing of the</w:t>
      </w:r>
      <w:r w:rsidR="003F19EA">
        <w:t xml:space="preserve"> </w:t>
      </w:r>
      <w:r w:rsidR="00C938AC">
        <w:t xml:space="preserve">command by the PD in accordance with the LED capabilities reported. </w:t>
      </w:r>
    </w:p>
    <w:p w14:paraId="57278D19" w14:textId="77777777" w:rsidR="000E0347" w:rsidRPr="0068485C" w:rsidRDefault="000E0347" w:rsidP="003F3F26"/>
    <w:p w14:paraId="6FA7557F" w14:textId="77777777" w:rsidR="003F3F26" w:rsidRDefault="003F3F26" w:rsidP="003F3F26">
      <w:pPr>
        <w:pStyle w:val="Heading5"/>
      </w:pPr>
      <w:r>
        <w:t>PD</w:t>
      </w:r>
    </w:p>
    <w:p w14:paraId="0BBA7EB0" w14:textId="2D167AEA" w:rsidR="003F3F26" w:rsidRDefault="003F3F26" w:rsidP="003F3F26">
      <w:pPr>
        <w:pStyle w:val="Standard"/>
      </w:pPr>
      <w:r w:rsidRPr="003F3F26">
        <w:t>PD</w:t>
      </w:r>
      <w:r w:rsidR="003F19EA">
        <w:t xml:space="preserve"> process</w:t>
      </w:r>
      <w:r w:rsidR="00C938AC">
        <w:t>es and LED</w:t>
      </w:r>
      <w:r w:rsidR="003F19EA">
        <w:t xml:space="preserve"> command and </w:t>
      </w:r>
      <w:r w:rsidR="00C938AC">
        <w:t>displays the proper colors, pattern and timing as indicated it supports in the PDCAP response.</w:t>
      </w:r>
    </w:p>
    <w:p w14:paraId="2EA375D4" w14:textId="77777777" w:rsidR="003F3F26" w:rsidRDefault="003F3F26" w:rsidP="003F3F26">
      <w:pPr>
        <w:pStyle w:val="Standard"/>
      </w:pPr>
    </w:p>
    <w:p w14:paraId="51CB317F" w14:textId="77777777" w:rsidR="003F3F26" w:rsidRDefault="003F3F26" w:rsidP="003F3F26">
      <w:pPr>
        <w:pStyle w:val="Heading5"/>
      </w:pPr>
      <w:r>
        <w:t>ACU</w:t>
      </w:r>
    </w:p>
    <w:p w14:paraId="7B36AE99" w14:textId="696D557A" w:rsidR="003F3F26" w:rsidRDefault="003F3F26" w:rsidP="003F3F26">
      <w:pPr>
        <w:pStyle w:val="Standard"/>
      </w:pPr>
      <w:r>
        <w:t xml:space="preserve">ACU MUST </w:t>
      </w:r>
      <w:r w:rsidR="000E0347">
        <w:t>issue</w:t>
      </w:r>
      <w:r>
        <w:t xml:space="preserve"> valid </w:t>
      </w:r>
      <w:r w:rsidR="00C938AC">
        <w:t>LED</w:t>
      </w:r>
      <w:r w:rsidR="00AF4D42">
        <w:t xml:space="preserve"> command </w:t>
      </w:r>
      <w:r w:rsidR="002916EC">
        <w:t xml:space="preserve">(0x69 and Table 15) </w:t>
      </w:r>
      <w:r w:rsidR="00AF4D42">
        <w:t xml:space="preserve">and </w:t>
      </w:r>
      <w:r w:rsidR="003F19EA">
        <w:t xml:space="preserve">control code </w:t>
      </w:r>
      <w:r w:rsidR="002916EC">
        <w:t xml:space="preserve">and color </w:t>
      </w:r>
      <w:r w:rsidR="003F19EA">
        <w:t>values (Table</w:t>
      </w:r>
      <w:r w:rsidR="002916EC">
        <w:t>s 16, 17, and 18</w:t>
      </w:r>
      <w:r w:rsidR="003F19EA">
        <w:t>).</w:t>
      </w:r>
    </w:p>
    <w:p w14:paraId="7BD52A99" w14:textId="77777777" w:rsidR="003F3F26" w:rsidRDefault="003F3F26" w:rsidP="003F3F26">
      <w:pPr>
        <w:pStyle w:val="Heading4"/>
      </w:pPr>
      <w:r>
        <w:t>Purpose</w:t>
      </w:r>
    </w:p>
    <w:p w14:paraId="3BD03C13" w14:textId="055C5A04" w:rsidR="003F3F26" w:rsidRDefault="003F3F26" w:rsidP="003F3F26">
      <w:r>
        <w:t xml:space="preserve">Used by ACU to </w:t>
      </w:r>
      <w:r w:rsidR="002916EC">
        <w:t>control PD LEDs</w:t>
      </w:r>
      <w:r w:rsidR="000E0347">
        <w:t>.</w:t>
      </w:r>
      <w:r>
        <w:t xml:space="preserve"> </w:t>
      </w:r>
    </w:p>
    <w:p w14:paraId="3E9D6E8F" w14:textId="77777777" w:rsidR="003F3F26" w:rsidRDefault="003F3F26" w:rsidP="003F3F26">
      <w:pPr>
        <w:pStyle w:val="Heading4"/>
      </w:pPr>
      <w:r>
        <w:t>Criteria</w:t>
      </w:r>
    </w:p>
    <w:p w14:paraId="38A72CA1" w14:textId="77777777" w:rsidR="003F3F26" w:rsidRDefault="003F3F26" w:rsidP="003F3F26">
      <w:pPr>
        <w:pStyle w:val="Standard"/>
        <w:keepNext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3F3F26" w14:paraId="0BF1821E" w14:textId="77777777" w:rsidTr="00D55769">
        <w:tc>
          <w:tcPr>
            <w:tcW w:w="4981" w:type="dxa"/>
          </w:tcPr>
          <w:p w14:paraId="0067FDAD" w14:textId="77777777" w:rsidR="003F3F26" w:rsidRDefault="003F3F26" w:rsidP="00D55769">
            <w:pPr>
              <w:pStyle w:val="Standard"/>
              <w:keepNext/>
            </w:pPr>
            <w:r>
              <w:t>Basic OSDP (PD)</w:t>
            </w:r>
          </w:p>
        </w:tc>
        <w:tc>
          <w:tcPr>
            <w:tcW w:w="4981" w:type="dxa"/>
          </w:tcPr>
          <w:p w14:paraId="307B7984" w14:textId="2B4A78EC" w:rsidR="003F3F26" w:rsidRDefault="008F034B" w:rsidP="00D55769">
            <w:pPr>
              <w:pStyle w:val="Standard"/>
              <w:keepNext/>
            </w:pPr>
            <w:r>
              <w:t>Required</w:t>
            </w:r>
          </w:p>
        </w:tc>
      </w:tr>
      <w:tr w:rsidR="003F3F26" w14:paraId="438DB89C" w14:textId="77777777" w:rsidTr="00D55769">
        <w:tc>
          <w:tcPr>
            <w:tcW w:w="4981" w:type="dxa"/>
          </w:tcPr>
          <w:p w14:paraId="4B196D7F" w14:textId="77777777" w:rsidR="003F3F26" w:rsidRDefault="003F3F26" w:rsidP="003F3F26">
            <w:pPr>
              <w:pStyle w:val="Standard"/>
              <w:keepNext/>
            </w:pPr>
            <w:r>
              <w:t>Basic OSDP (ACU)</w:t>
            </w:r>
          </w:p>
        </w:tc>
        <w:tc>
          <w:tcPr>
            <w:tcW w:w="4981" w:type="dxa"/>
          </w:tcPr>
          <w:p w14:paraId="298A8E9C" w14:textId="7485EAAF" w:rsidR="003F3F26" w:rsidRDefault="008F034B" w:rsidP="003F3F26">
            <w:pPr>
              <w:pStyle w:val="Standard"/>
              <w:keepNext/>
            </w:pPr>
            <w:r>
              <w:t>Optional</w:t>
            </w:r>
          </w:p>
        </w:tc>
      </w:tr>
      <w:tr w:rsidR="003F3F26" w14:paraId="56B9B57A" w14:textId="77777777" w:rsidTr="00D55769">
        <w:tc>
          <w:tcPr>
            <w:tcW w:w="4981" w:type="dxa"/>
          </w:tcPr>
          <w:p w14:paraId="2EF00C85" w14:textId="77777777" w:rsidR="003F3F26" w:rsidRDefault="003F3F26" w:rsidP="003F3F26">
            <w:pPr>
              <w:pStyle w:val="Standard"/>
              <w:keepNext/>
            </w:pPr>
            <w:r>
              <w:t>Secure Channel (PD)</w:t>
            </w:r>
          </w:p>
        </w:tc>
        <w:tc>
          <w:tcPr>
            <w:tcW w:w="4981" w:type="dxa"/>
          </w:tcPr>
          <w:p w14:paraId="4A1D079C" w14:textId="02150346" w:rsidR="003F3F26" w:rsidRDefault="008F034B" w:rsidP="003F3F26">
            <w:pPr>
              <w:pStyle w:val="Standard"/>
              <w:keepNext/>
            </w:pPr>
            <w:r>
              <w:t>Required</w:t>
            </w:r>
          </w:p>
        </w:tc>
      </w:tr>
      <w:tr w:rsidR="001D0152" w14:paraId="574A63C4" w14:textId="77777777" w:rsidTr="00D55769">
        <w:tc>
          <w:tcPr>
            <w:tcW w:w="4981" w:type="dxa"/>
          </w:tcPr>
          <w:p w14:paraId="2D73DFF0" w14:textId="77777777" w:rsidR="001D0152" w:rsidRDefault="001D0152" w:rsidP="001D0152">
            <w:pPr>
              <w:pStyle w:val="Standard"/>
              <w:keepNext/>
            </w:pPr>
            <w:r>
              <w:t>Secure Channel (ACU)</w:t>
            </w:r>
          </w:p>
        </w:tc>
        <w:tc>
          <w:tcPr>
            <w:tcW w:w="4981" w:type="dxa"/>
          </w:tcPr>
          <w:p w14:paraId="5162D320" w14:textId="5D4A1BE8" w:rsidR="001D0152" w:rsidRDefault="008F034B" w:rsidP="001D0152">
            <w:pPr>
              <w:pStyle w:val="Standard"/>
              <w:keepNext/>
            </w:pPr>
            <w:r>
              <w:t>Optional</w:t>
            </w:r>
          </w:p>
        </w:tc>
      </w:tr>
      <w:tr w:rsidR="001D0152" w14:paraId="322820FC" w14:textId="77777777" w:rsidTr="00D55769">
        <w:tc>
          <w:tcPr>
            <w:tcW w:w="4981" w:type="dxa"/>
          </w:tcPr>
          <w:p w14:paraId="5BE23AAE" w14:textId="77777777" w:rsidR="001D0152" w:rsidRDefault="001D0152" w:rsidP="001D0152">
            <w:pPr>
              <w:pStyle w:val="Standard"/>
              <w:keepNext/>
            </w:pPr>
            <w:r>
              <w:t>BIO Match (PD)</w:t>
            </w:r>
          </w:p>
        </w:tc>
        <w:tc>
          <w:tcPr>
            <w:tcW w:w="4981" w:type="dxa"/>
          </w:tcPr>
          <w:p w14:paraId="10F2154F" w14:textId="1B019F8A" w:rsidR="001D0152" w:rsidRDefault="008F034B" w:rsidP="001D0152">
            <w:pPr>
              <w:pStyle w:val="Standard"/>
              <w:keepNext/>
            </w:pPr>
            <w:r>
              <w:t>Required</w:t>
            </w:r>
          </w:p>
        </w:tc>
      </w:tr>
      <w:tr w:rsidR="001D0152" w14:paraId="243D9FE8" w14:textId="77777777" w:rsidTr="00D55769">
        <w:tc>
          <w:tcPr>
            <w:tcW w:w="4981" w:type="dxa"/>
          </w:tcPr>
          <w:p w14:paraId="4886409C" w14:textId="77777777" w:rsidR="001D0152" w:rsidRDefault="001D0152" w:rsidP="001D0152">
            <w:pPr>
              <w:pStyle w:val="Standard"/>
              <w:keepNext/>
            </w:pPr>
            <w:r>
              <w:t>BIO Match (ACU)</w:t>
            </w:r>
          </w:p>
        </w:tc>
        <w:tc>
          <w:tcPr>
            <w:tcW w:w="4981" w:type="dxa"/>
          </w:tcPr>
          <w:p w14:paraId="61696B13" w14:textId="5E2327BD" w:rsidR="001D0152" w:rsidRDefault="008F034B" w:rsidP="001D0152">
            <w:pPr>
              <w:pStyle w:val="Standard"/>
              <w:keepNext/>
            </w:pPr>
            <w:r>
              <w:t>Optional</w:t>
            </w:r>
          </w:p>
        </w:tc>
      </w:tr>
      <w:tr w:rsidR="008F034B" w14:paraId="1C2EBAC9" w14:textId="77777777" w:rsidTr="00D55769">
        <w:tc>
          <w:tcPr>
            <w:tcW w:w="4981" w:type="dxa"/>
          </w:tcPr>
          <w:p w14:paraId="6B2C3F40" w14:textId="77777777" w:rsidR="008F034B" w:rsidRDefault="008F034B" w:rsidP="008F034B">
            <w:pPr>
              <w:pStyle w:val="Standard"/>
              <w:keepNext/>
            </w:pPr>
            <w:r>
              <w:t>BIO Read (PD)</w:t>
            </w:r>
          </w:p>
        </w:tc>
        <w:tc>
          <w:tcPr>
            <w:tcW w:w="4981" w:type="dxa"/>
          </w:tcPr>
          <w:p w14:paraId="1B836E64" w14:textId="21873FCC" w:rsidR="008F034B" w:rsidRDefault="008F034B" w:rsidP="008F034B">
            <w:pPr>
              <w:pStyle w:val="Standard"/>
              <w:keepNext/>
            </w:pPr>
            <w:r w:rsidRPr="00A23DB0">
              <w:t>Optional</w:t>
            </w:r>
          </w:p>
        </w:tc>
      </w:tr>
      <w:tr w:rsidR="008F034B" w14:paraId="40E12166" w14:textId="77777777" w:rsidTr="00D55769">
        <w:tc>
          <w:tcPr>
            <w:tcW w:w="4981" w:type="dxa"/>
          </w:tcPr>
          <w:p w14:paraId="47C07D4C" w14:textId="77777777" w:rsidR="008F034B" w:rsidRDefault="008F034B" w:rsidP="008F034B">
            <w:pPr>
              <w:pStyle w:val="Standard"/>
              <w:keepNext/>
            </w:pPr>
            <w:r>
              <w:t>BIO Read (ACU)</w:t>
            </w:r>
          </w:p>
        </w:tc>
        <w:tc>
          <w:tcPr>
            <w:tcW w:w="4981" w:type="dxa"/>
          </w:tcPr>
          <w:p w14:paraId="3E93A301" w14:textId="5CA72E81" w:rsidR="008F034B" w:rsidRDefault="008F034B" w:rsidP="008F034B">
            <w:pPr>
              <w:pStyle w:val="Standard"/>
              <w:keepNext/>
            </w:pPr>
            <w:r w:rsidRPr="00A23DB0">
              <w:t>Optional</w:t>
            </w:r>
          </w:p>
        </w:tc>
      </w:tr>
      <w:tr w:rsidR="008F034B" w14:paraId="3DD0C49C" w14:textId="77777777" w:rsidTr="00D55769">
        <w:tc>
          <w:tcPr>
            <w:tcW w:w="4981" w:type="dxa"/>
          </w:tcPr>
          <w:p w14:paraId="17CB1D33" w14:textId="77777777" w:rsidR="008F034B" w:rsidRDefault="008F034B" w:rsidP="008F034B">
            <w:pPr>
              <w:pStyle w:val="Standard"/>
              <w:keepNext/>
            </w:pPr>
            <w:r>
              <w:t>Extended Packet Mode (PD)</w:t>
            </w:r>
          </w:p>
        </w:tc>
        <w:tc>
          <w:tcPr>
            <w:tcW w:w="4981" w:type="dxa"/>
          </w:tcPr>
          <w:p w14:paraId="662BEA84" w14:textId="14AFE9F3" w:rsidR="008F034B" w:rsidRDefault="008F034B" w:rsidP="008F034B">
            <w:pPr>
              <w:pStyle w:val="Standard"/>
              <w:keepNext/>
            </w:pPr>
            <w:r w:rsidRPr="00A23DB0">
              <w:t>Optional</w:t>
            </w:r>
          </w:p>
        </w:tc>
      </w:tr>
      <w:tr w:rsidR="008F034B" w14:paraId="34193F61" w14:textId="77777777" w:rsidTr="00D55769">
        <w:tc>
          <w:tcPr>
            <w:tcW w:w="4981" w:type="dxa"/>
          </w:tcPr>
          <w:p w14:paraId="0D137BC7" w14:textId="77777777" w:rsidR="008F034B" w:rsidRDefault="008F034B" w:rsidP="008F034B">
            <w:pPr>
              <w:pStyle w:val="Standard"/>
              <w:keepNext/>
            </w:pPr>
            <w:r>
              <w:t>Extended Packet Mode (ACU)</w:t>
            </w:r>
          </w:p>
        </w:tc>
        <w:tc>
          <w:tcPr>
            <w:tcW w:w="4981" w:type="dxa"/>
          </w:tcPr>
          <w:p w14:paraId="3F80325F" w14:textId="3BAED603" w:rsidR="008F034B" w:rsidRDefault="008F034B" w:rsidP="008F034B">
            <w:pPr>
              <w:pStyle w:val="Standard"/>
              <w:keepNext/>
            </w:pPr>
            <w:r w:rsidRPr="00A23DB0">
              <w:t>Optional</w:t>
            </w:r>
          </w:p>
        </w:tc>
      </w:tr>
      <w:tr w:rsidR="008F034B" w14:paraId="2C3FBAB9" w14:textId="77777777" w:rsidTr="00D55769">
        <w:tc>
          <w:tcPr>
            <w:tcW w:w="4981" w:type="dxa"/>
          </w:tcPr>
          <w:p w14:paraId="47A1300C" w14:textId="77777777" w:rsidR="008F034B" w:rsidRDefault="008F034B" w:rsidP="008F034B">
            <w:pPr>
              <w:pStyle w:val="Standard"/>
              <w:keepNext/>
            </w:pPr>
            <w:r>
              <w:t>Extended Read/Write (PD)</w:t>
            </w:r>
          </w:p>
        </w:tc>
        <w:tc>
          <w:tcPr>
            <w:tcW w:w="4981" w:type="dxa"/>
          </w:tcPr>
          <w:p w14:paraId="0DBD24F6" w14:textId="3D54F68D" w:rsidR="008F034B" w:rsidRDefault="008F034B" w:rsidP="008F034B">
            <w:pPr>
              <w:pStyle w:val="Standard"/>
              <w:keepNext/>
            </w:pPr>
            <w:r w:rsidRPr="00A23DB0">
              <w:t>Optional</w:t>
            </w:r>
          </w:p>
        </w:tc>
      </w:tr>
      <w:tr w:rsidR="008F034B" w14:paraId="2D47AF07" w14:textId="77777777" w:rsidTr="00D55769">
        <w:tc>
          <w:tcPr>
            <w:tcW w:w="4981" w:type="dxa"/>
          </w:tcPr>
          <w:p w14:paraId="23EB1E61" w14:textId="77777777" w:rsidR="008F034B" w:rsidRDefault="008F034B" w:rsidP="008F034B">
            <w:pPr>
              <w:pStyle w:val="Standard"/>
              <w:keepNext/>
            </w:pPr>
            <w:r>
              <w:t>Extended Read/Write (ACU)</w:t>
            </w:r>
          </w:p>
        </w:tc>
        <w:tc>
          <w:tcPr>
            <w:tcW w:w="4981" w:type="dxa"/>
          </w:tcPr>
          <w:p w14:paraId="0DF93A8B" w14:textId="7F83414E" w:rsidR="008F034B" w:rsidRDefault="008F034B" w:rsidP="008F034B">
            <w:pPr>
              <w:pStyle w:val="Standard"/>
              <w:keepNext/>
            </w:pPr>
            <w:r w:rsidRPr="00A23DB0">
              <w:t>Optional</w:t>
            </w:r>
          </w:p>
        </w:tc>
      </w:tr>
    </w:tbl>
    <w:p w14:paraId="321272CA" w14:textId="77777777" w:rsidR="003F3F26" w:rsidRDefault="003F3F26" w:rsidP="003F3F26">
      <w:pPr>
        <w:pStyle w:val="Heading4"/>
      </w:pPr>
      <w:r>
        <w:t>Test action</w:t>
      </w:r>
    </w:p>
    <w:p w14:paraId="08CA81A8" w14:textId="77777777" w:rsidR="003F3F26" w:rsidRDefault="003F3F26" w:rsidP="003F3F26">
      <w:pPr>
        <w:pStyle w:val="Heading5"/>
      </w:pPr>
      <w:r>
        <w:t>PD Test</w:t>
      </w:r>
    </w:p>
    <w:p w14:paraId="6676CB1D" w14:textId="3ACE36BD" w:rsidR="00DA2797" w:rsidRDefault="002916EC" w:rsidP="003F3F26">
      <w:pPr>
        <w:pStyle w:val="Standard"/>
        <w:keepNext/>
      </w:pPr>
      <w:r>
        <w:t>See profile compliance matrix for required vs. optional for different LED color types. Commands are sent to the reader and tester observes proper behavior for supported colors.</w:t>
      </w:r>
    </w:p>
    <w:p w14:paraId="5BDCCE70" w14:textId="772BCD7A" w:rsidR="003F3F26" w:rsidRDefault="000E0347" w:rsidP="003F3F26">
      <w:pPr>
        <w:pStyle w:val="Standard"/>
        <w:keepNext/>
      </w:pPr>
      <w:r>
        <w:t xml:space="preserve"> </w:t>
      </w:r>
    </w:p>
    <w:p w14:paraId="40E898AC" w14:textId="77777777" w:rsidR="003F3F26" w:rsidRDefault="003F3F26" w:rsidP="003F3F26">
      <w:pPr>
        <w:pStyle w:val="Heading5"/>
      </w:pPr>
      <w:r>
        <w:t>ACU Test</w:t>
      </w:r>
    </w:p>
    <w:p w14:paraId="3635CD3C" w14:textId="564E54E8" w:rsidR="003F3F26" w:rsidRDefault="003F3F26" w:rsidP="003F3F26">
      <w:pPr>
        <w:pStyle w:val="Standard"/>
      </w:pPr>
      <w:r>
        <w:t>ACU send osdp_</w:t>
      </w:r>
      <w:r w:rsidR="002916EC">
        <w:t>LED</w:t>
      </w:r>
      <w:r>
        <w:t xml:space="preserve"> 0x</w:t>
      </w:r>
      <w:r w:rsidR="000E0347">
        <w:t>6</w:t>
      </w:r>
      <w:r w:rsidR="002916EC">
        <w:t>9</w:t>
      </w:r>
      <w:r w:rsidR="00AF4D42">
        <w:t xml:space="preserve"> command </w:t>
      </w:r>
      <w:r w:rsidR="002916EC">
        <w:t>for those capabilities supported and accept NAKs in the case where the colors are not supported.</w:t>
      </w:r>
    </w:p>
    <w:p w14:paraId="490F4CF7" w14:textId="77777777" w:rsidR="003F3F26" w:rsidRDefault="003F3F26" w:rsidP="003F3F26">
      <w:pPr>
        <w:pStyle w:val="Heading4"/>
      </w:pPr>
      <w:r>
        <w:t>Development status</w:t>
      </w:r>
    </w:p>
    <w:p w14:paraId="05A59DAD" w14:textId="77777777" w:rsidR="006F210E" w:rsidRDefault="006F210E" w:rsidP="006F210E">
      <w:pPr>
        <w:pStyle w:val="Standard"/>
      </w:pPr>
      <w:r>
        <w:t xml:space="preserve">Available in libosdp-conformance </w:t>
      </w:r>
      <w:hyperlink r:id="rId6" w:history="1">
        <w:r>
          <w:rPr>
            <w:rStyle w:val="Hyperlink"/>
          </w:rPr>
          <w:t>1.31-Build-4</w:t>
        </w:r>
      </w:hyperlink>
    </w:p>
    <w:p w14:paraId="3E85EF36" w14:textId="77777777" w:rsidR="003F3F26" w:rsidRDefault="003F3F26" w:rsidP="003F3F26">
      <w:pPr>
        <w:pStyle w:val="Heading4"/>
      </w:pPr>
      <w:r>
        <w:t>Test Results</w:t>
      </w:r>
    </w:p>
    <w:p w14:paraId="3336CCD9" w14:textId="77777777" w:rsidR="003F3F26" w:rsidRDefault="003F3F26" w:rsidP="003F3F26">
      <w:pPr>
        <w:pStyle w:val="Standard"/>
      </w:pPr>
      <w:r>
        <w:t>JSON tags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3F3F26" w14:paraId="798C9098" w14:textId="77777777" w:rsidTr="00D55769">
        <w:tc>
          <w:tcPr>
            <w:tcW w:w="4981" w:type="dxa"/>
          </w:tcPr>
          <w:p w14:paraId="585D7FB1" w14:textId="77777777" w:rsidR="003F3F26" w:rsidRDefault="003F3F26" w:rsidP="00D55769">
            <w:pPr>
              <w:pStyle w:val="Standard"/>
            </w:pPr>
            <w:r>
              <w:t>test</w:t>
            </w:r>
          </w:p>
        </w:tc>
        <w:tc>
          <w:tcPr>
            <w:tcW w:w="4981" w:type="dxa"/>
          </w:tcPr>
          <w:p w14:paraId="15F8817F" w14:textId="3E4D3D56" w:rsidR="003F3F26" w:rsidRDefault="003F3F26" w:rsidP="00D55769">
            <w:pPr>
              <w:pStyle w:val="Standard"/>
            </w:pPr>
            <w:r>
              <w:t>060-0</w:t>
            </w:r>
            <w:r w:rsidR="002916EC">
              <w:t>10</w:t>
            </w:r>
            <w:r>
              <w:t>-</w:t>
            </w:r>
            <w:r w:rsidR="002916EC">
              <w:t>0</w:t>
            </w:r>
            <w:r w:rsidR="00AF4D42">
              <w:t>1</w:t>
            </w:r>
            <w:r w:rsidR="002916EC">
              <w:t xml:space="preserve"> to 060-10-09</w:t>
            </w:r>
          </w:p>
        </w:tc>
      </w:tr>
      <w:tr w:rsidR="003F3F26" w14:paraId="51AB38D7" w14:textId="77777777" w:rsidTr="00D55769">
        <w:tc>
          <w:tcPr>
            <w:tcW w:w="4981" w:type="dxa"/>
          </w:tcPr>
          <w:p w14:paraId="2093FE8C" w14:textId="77777777" w:rsidR="003F3F26" w:rsidRDefault="003F3F26" w:rsidP="00D55769">
            <w:pPr>
              <w:pStyle w:val="Standard"/>
            </w:pPr>
            <w:r>
              <w:t>test-status</w:t>
            </w:r>
          </w:p>
        </w:tc>
        <w:tc>
          <w:tcPr>
            <w:tcW w:w="4981" w:type="dxa"/>
          </w:tcPr>
          <w:p w14:paraId="689906EA" w14:textId="77777777" w:rsidR="003F3F26" w:rsidRDefault="003F3F26" w:rsidP="00D55769">
            <w:pPr>
              <w:pStyle w:val="Standard"/>
            </w:pPr>
            <w:r>
              <w:t>1 for pass, 0 for fail</w:t>
            </w:r>
          </w:p>
        </w:tc>
      </w:tr>
    </w:tbl>
    <w:p w14:paraId="30B07748" w14:textId="77777777" w:rsidR="003F3F26" w:rsidRDefault="003F3F26" w:rsidP="003F3F26">
      <w:pPr>
        <w:pStyle w:val="Standard"/>
      </w:pPr>
    </w:p>
    <w:p w14:paraId="7CDCE390" w14:textId="77777777" w:rsidR="003F3F26" w:rsidRDefault="003F3F26" w:rsidP="003F3F26">
      <w:pPr>
        <w:pStyle w:val="Heading4"/>
      </w:pPr>
      <w:r>
        <w:t>Revision History</w:t>
      </w:r>
    </w:p>
    <w:p w14:paraId="66CFDF6C" w14:textId="037F0BCA" w:rsidR="00E31A65" w:rsidRPr="00000B67" w:rsidRDefault="003F3F26" w:rsidP="006F210E">
      <w:pPr>
        <w:pStyle w:val="Standard"/>
        <w:rPr>
          <w:b/>
          <w:bCs/>
        </w:rPr>
      </w:pPr>
      <w:r>
        <w:t>New as 2.</w:t>
      </w:r>
      <w:r w:rsidR="006F210E">
        <w:t>4</w:t>
      </w:r>
      <w:r>
        <w:t>.2</w:t>
      </w:r>
    </w:p>
    <w:sectPr w:rsidR="00E31A65" w:rsidRPr="00000B67">
      <w:foot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059FC" w14:textId="77777777" w:rsidR="00414634" w:rsidRDefault="00414634">
      <w:r>
        <w:separator/>
      </w:r>
    </w:p>
  </w:endnote>
  <w:endnote w:type="continuationSeparator" w:id="0">
    <w:p w14:paraId="4E151009" w14:textId="77777777" w:rsidR="00414634" w:rsidRDefault="00414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Yu Mincho">
    <w:altName w:val="游明朝"/>
    <w:charset w:val="8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F9483" w14:textId="77777777" w:rsidR="001569E9" w:rsidRDefault="00000000">
    <w:pPr>
      <w:pStyle w:val="Footer"/>
    </w:pPr>
    <w:r>
      <w:t>OSDP Verified</w:t>
    </w:r>
    <w:r>
      <w:tab/>
      <w:t>Test Descriptions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44DAA" w14:textId="77777777" w:rsidR="00414634" w:rsidRDefault="00414634">
      <w:r>
        <w:rPr>
          <w:color w:val="000000"/>
        </w:rPr>
        <w:ptab w:relativeTo="margin" w:alignment="center" w:leader="none"/>
      </w:r>
    </w:p>
  </w:footnote>
  <w:footnote w:type="continuationSeparator" w:id="0">
    <w:p w14:paraId="202333C6" w14:textId="77777777" w:rsidR="00414634" w:rsidRDefault="004146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056"/>
    <w:rsid w:val="00000538"/>
    <w:rsid w:val="00000B67"/>
    <w:rsid w:val="00014D73"/>
    <w:rsid w:val="000226A4"/>
    <w:rsid w:val="000A22BA"/>
    <w:rsid w:val="000B272F"/>
    <w:rsid w:val="000B4C63"/>
    <w:rsid w:val="000D7FFE"/>
    <w:rsid w:val="000E0347"/>
    <w:rsid w:val="0010265E"/>
    <w:rsid w:val="00116539"/>
    <w:rsid w:val="001356FF"/>
    <w:rsid w:val="00154345"/>
    <w:rsid w:val="001D0152"/>
    <w:rsid w:val="00216D58"/>
    <w:rsid w:val="00267069"/>
    <w:rsid w:val="002916EC"/>
    <w:rsid w:val="002930EA"/>
    <w:rsid w:val="002F4D51"/>
    <w:rsid w:val="0036132F"/>
    <w:rsid w:val="003A39AB"/>
    <w:rsid w:val="003F19EA"/>
    <w:rsid w:val="003F3F26"/>
    <w:rsid w:val="00414634"/>
    <w:rsid w:val="00423C3A"/>
    <w:rsid w:val="0043270C"/>
    <w:rsid w:val="004423C1"/>
    <w:rsid w:val="004C2331"/>
    <w:rsid w:val="004D307B"/>
    <w:rsid w:val="004D333C"/>
    <w:rsid w:val="005D0B12"/>
    <w:rsid w:val="00635CA7"/>
    <w:rsid w:val="00664D67"/>
    <w:rsid w:val="0068485C"/>
    <w:rsid w:val="006A71A3"/>
    <w:rsid w:val="006E2C51"/>
    <w:rsid w:val="006E66D1"/>
    <w:rsid w:val="006F210E"/>
    <w:rsid w:val="0070456F"/>
    <w:rsid w:val="007314EA"/>
    <w:rsid w:val="007625FD"/>
    <w:rsid w:val="007679AF"/>
    <w:rsid w:val="007D0649"/>
    <w:rsid w:val="00836C59"/>
    <w:rsid w:val="0087711B"/>
    <w:rsid w:val="008B6693"/>
    <w:rsid w:val="008E5058"/>
    <w:rsid w:val="008F034B"/>
    <w:rsid w:val="00917A8D"/>
    <w:rsid w:val="00927DEF"/>
    <w:rsid w:val="009371BD"/>
    <w:rsid w:val="00980C73"/>
    <w:rsid w:val="009D3944"/>
    <w:rsid w:val="00A103F6"/>
    <w:rsid w:val="00A20B4A"/>
    <w:rsid w:val="00A84C79"/>
    <w:rsid w:val="00AF4D42"/>
    <w:rsid w:val="00B44735"/>
    <w:rsid w:val="00BA7AD0"/>
    <w:rsid w:val="00BD3056"/>
    <w:rsid w:val="00C15BAC"/>
    <w:rsid w:val="00C63746"/>
    <w:rsid w:val="00C938AC"/>
    <w:rsid w:val="00CE2D6B"/>
    <w:rsid w:val="00D046A2"/>
    <w:rsid w:val="00D85278"/>
    <w:rsid w:val="00DA2797"/>
    <w:rsid w:val="00E258B1"/>
    <w:rsid w:val="00E31A65"/>
    <w:rsid w:val="00E43CB5"/>
    <w:rsid w:val="00E92446"/>
    <w:rsid w:val="00EA6422"/>
    <w:rsid w:val="00ED248C"/>
    <w:rsid w:val="00F33BD3"/>
    <w:rsid w:val="00F715F3"/>
    <w:rsid w:val="00F96313"/>
    <w:rsid w:val="00FC6DBF"/>
    <w:rsid w:val="00FD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C9EE"/>
  <w15:docId w15:val="{083DEFDD-9A27-4F3B-A2A4-95DF2BC75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1A6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1A65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Heading4Char">
    <w:name w:val="Heading 4 Char"/>
    <w:basedOn w:val="DefaultParagraphFont"/>
    <w:link w:val="Heading4"/>
    <w:uiPriority w:val="9"/>
    <w:rsid w:val="00E31A6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rsid w:val="00E31A65"/>
    <w:rPr>
      <w:rFonts w:asciiTheme="majorHAnsi" w:eastAsiaTheme="majorEastAsia" w:hAnsiTheme="majorHAnsi" w:cs="Mangal"/>
      <w:color w:val="2F5496" w:themeColor="accent1" w:themeShade="BF"/>
      <w:szCs w:val="21"/>
    </w:rPr>
  </w:style>
  <w:style w:type="table" w:styleId="TableGrid">
    <w:name w:val="Table Grid"/>
    <w:basedOn w:val="TableNormal"/>
    <w:uiPriority w:val="39"/>
    <w:rsid w:val="00E31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226A4"/>
    <w:pPr>
      <w:widowControl/>
      <w:suppressAutoHyphens w:val="0"/>
      <w:autoSpaceDN/>
      <w:spacing w:before="100" w:beforeAutospacing="1" w:after="144" w:line="276" w:lineRule="auto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styleId="Hyperlink">
    <w:name w:val="Hyperlink"/>
    <w:basedOn w:val="DefaultParagraphFont"/>
    <w:semiHidden/>
    <w:unhideWhenUsed/>
    <w:rsid w:val="006F210E"/>
    <w:rPr>
      <w:color w:val="0563C1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ecurity-Industry-Association/libosdp-conformance/releases/tag/1.31-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Salvatore D'Agostino</dc:creator>
  <cp:lastModifiedBy>Salvatore D'Agostino</cp:lastModifiedBy>
  <cp:revision>7</cp:revision>
  <dcterms:created xsi:type="dcterms:W3CDTF">2022-12-08T14:19:00Z</dcterms:created>
  <dcterms:modified xsi:type="dcterms:W3CDTF">2022-12-18T21:27:00Z</dcterms:modified>
</cp:coreProperties>
</file>